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hemeFill="accent6" w:themeFillTint="99"/>
        <w:tblCellMar>
          <w:left w:w="10" w:type="dxa"/>
          <w:right w:w="10" w:type="dxa"/>
        </w:tblCellMar>
        <w:tblLook w:val="0000" w:firstRow="0" w:lastRow="0" w:firstColumn="0" w:lastColumn="0" w:noHBand="0" w:noVBand="0"/>
      </w:tblPr>
      <w:tblGrid>
        <w:gridCol w:w="9506"/>
      </w:tblGrid>
      <w:tr w:rsidR="00D17372" w:rsidTr="00590EF1">
        <w:tc>
          <w:tcPr>
            <w:tcW w:w="9506" w:type="dxa"/>
            <w:shd w:val="clear" w:color="auto" w:fill="A8D08D" w:themeFill="accent6" w:themeFillTint="99"/>
            <w:tcMar>
              <w:top w:w="280" w:type="dxa"/>
              <w:left w:w="400" w:type="dxa"/>
              <w:bottom w:w="280" w:type="dxa"/>
              <w:right w:w="400" w:type="dxa"/>
            </w:tcMar>
          </w:tcPr>
          <w:p w:rsidR="00D17372" w:rsidRPr="00590EF1" w:rsidRDefault="00842DB6">
            <w:pPr>
              <w:spacing w:after="60"/>
              <w:jc w:val="center"/>
              <w:rPr>
                <w:color w:val="0D0D0D" w:themeColor="text1" w:themeTint="F2"/>
              </w:rPr>
            </w:pPr>
            <w:r w:rsidRPr="00590EF1">
              <w:rPr>
                <w:rFonts w:ascii="Arial" w:eastAsia="Arial" w:hAnsi="Arial" w:cs="Arial"/>
                <w:b/>
                <w:bCs/>
                <w:color w:val="0D0D0D" w:themeColor="text1" w:themeTint="F2"/>
                <w:sz w:val="36"/>
                <w:szCs w:val="36"/>
              </w:rPr>
              <w:t>Shannow Family Resource Centre</w:t>
            </w:r>
          </w:p>
          <w:p w:rsidR="00D17372" w:rsidRDefault="00842DB6">
            <w:pPr>
              <w:jc w:val="center"/>
            </w:pPr>
            <w:r w:rsidRPr="00590EF1">
              <w:rPr>
                <w:rFonts w:ascii="Arial" w:eastAsia="Arial" w:hAnsi="Arial" w:cs="Arial"/>
                <w:color w:val="0D0D0D" w:themeColor="text1" w:themeTint="F2"/>
                <w:sz w:val="24"/>
                <w:szCs w:val="24"/>
              </w:rPr>
              <w:t>Job Advertisement</w:t>
            </w:r>
          </w:p>
        </w:tc>
      </w:tr>
    </w:tbl>
    <w:p w:rsidR="00D17372" w:rsidRPr="008D63E4" w:rsidRDefault="00D17372">
      <w:pPr>
        <w:spacing w:after="160"/>
        <w:rPr>
          <w:sz w:val="18"/>
        </w:rPr>
      </w:pPr>
    </w:p>
    <w:p w:rsidR="00D17372" w:rsidRPr="008D63E4" w:rsidRDefault="00842DB6">
      <w:pPr>
        <w:spacing w:after="60"/>
        <w:jc w:val="center"/>
        <w:rPr>
          <w:color w:val="385623" w:themeColor="accent6" w:themeShade="80"/>
          <w:sz w:val="18"/>
        </w:rPr>
      </w:pPr>
      <w:r w:rsidRPr="008D63E4">
        <w:rPr>
          <w:rFonts w:ascii="Arial" w:eastAsia="Arial" w:hAnsi="Arial" w:cs="Arial"/>
          <w:b/>
          <w:bCs/>
          <w:color w:val="385623" w:themeColor="accent6" w:themeShade="80"/>
          <w:sz w:val="32"/>
          <w:szCs w:val="36"/>
        </w:rPr>
        <w:t>Family Support / Community Development Worker</w:t>
      </w:r>
    </w:p>
    <w:p w:rsidR="00D17372" w:rsidRPr="008D63E4" w:rsidRDefault="00842DB6">
      <w:pPr>
        <w:spacing w:after="200"/>
        <w:jc w:val="center"/>
        <w:rPr>
          <w:sz w:val="18"/>
        </w:rPr>
      </w:pPr>
      <w:r w:rsidRPr="008D63E4">
        <w:rPr>
          <w:rFonts w:ascii="Arial" w:eastAsia="Arial" w:hAnsi="Arial" w:cs="Arial"/>
          <w:i/>
          <w:iCs/>
          <w:color w:val="666666"/>
          <w:szCs w:val="22"/>
        </w:rPr>
        <w:t xml:space="preserve">Specific Purpose </w:t>
      </w:r>
      <w:r w:rsidR="008D63E4" w:rsidRPr="008D63E4">
        <w:rPr>
          <w:rFonts w:ascii="Arial" w:eastAsia="Arial" w:hAnsi="Arial" w:cs="Arial"/>
          <w:i/>
          <w:iCs/>
          <w:color w:val="666666"/>
          <w:szCs w:val="22"/>
        </w:rPr>
        <w:t>Contract | 35</w:t>
      </w:r>
      <w:r w:rsidRPr="008D63E4">
        <w:rPr>
          <w:rFonts w:ascii="Arial" w:eastAsia="Arial" w:hAnsi="Arial" w:cs="Arial"/>
          <w:i/>
          <w:iCs/>
          <w:color w:val="666666"/>
          <w:szCs w:val="22"/>
        </w:rPr>
        <w:t xml:space="preserve"> Hours </w:t>
      </w:r>
      <w:proofErr w:type="gramStart"/>
      <w:r w:rsidRPr="008D63E4">
        <w:rPr>
          <w:rFonts w:ascii="Arial" w:eastAsia="Arial" w:hAnsi="Arial" w:cs="Arial"/>
          <w:i/>
          <w:iCs/>
          <w:color w:val="666666"/>
          <w:szCs w:val="22"/>
        </w:rPr>
        <w:t>Per</w:t>
      </w:r>
      <w:proofErr w:type="gramEnd"/>
      <w:r w:rsidRPr="008D63E4">
        <w:rPr>
          <w:rFonts w:ascii="Arial" w:eastAsia="Arial" w:hAnsi="Arial" w:cs="Arial"/>
          <w:i/>
          <w:iCs/>
          <w:color w:val="666666"/>
          <w:szCs w:val="22"/>
        </w:rPr>
        <w:t xml:space="preserve"> </w:t>
      </w:r>
      <w:r w:rsidR="008D63E4" w:rsidRPr="008D63E4">
        <w:rPr>
          <w:rFonts w:ascii="Arial" w:eastAsia="Arial" w:hAnsi="Arial" w:cs="Arial"/>
          <w:i/>
          <w:iCs/>
          <w:color w:val="666666"/>
          <w:szCs w:val="22"/>
        </w:rPr>
        <w:t>Week | Initially</w:t>
      </w:r>
      <w:r w:rsidRPr="008D63E4">
        <w:rPr>
          <w:rFonts w:ascii="Arial" w:eastAsia="Arial" w:hAnsi="Arial" w:cs="Arial"/>
          <w:i/>
          <w:iCs/>
          <w:color w:val="666666"/>
          <w:szCs w:val="22"/>
        </w:rPr>
        <w:t xml:space="preserve"> 6 Months with Possibility of Extension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D17372" w:rsidRPr="008D63E4">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rsidR="00D17372" w:rsidRPr="008D63E4" w:rsidRDefault="00842DB6">
            <w:pPr>
              <w:rPr>
                <w:color w:val="385623" w:themeColor="accent6" w:themeShade="80"/>
                <w:sz w:val="18"/>
              </w:rPr>
            </w:pPr>
            <w:r w:rsidRPr="008D63E4">
              <w:rPr>
                <w:rFonts w:ascii="Arial" w:eastAsia="Arial" w:hAnsi="Arial" w:cs="Arial"/>
                <w:b/>
                <w:bCs/>
                <w:color w:val="385623" w:themeColor="accent6" w:themeShade="80"/>
                <w:sz w:val="18"/>
                <w:szCs w:val="22"/>
              </w:rPr>
              <w:t>Contract Type</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rsidR="00D17372" w:rsidRPr="008D63E4" w:rsidRDefault="00842DB6">
            <w:pPr>
              <w:rPr>
                <w:sz w:val="18"/>
              </w:rPr>
            </w:pPr>
            <w:r w:rsidRPr="008D63E4">
              <w:rPr>
                <w:rFonts w:ascii="Arial" w:eastAsia="Arial" w:hAnsi="Arial" w:cs="Arial"/>
                <w:sz w:val="18"/>
                <w:szCs w:val="22"/>
              </w:rPr>
              <w:t>Specific Purpose Contract — covering carer's leave</w:t>
            </w:r>
          </w:p>
        </w:tc>
      </w:tr>
      <w:tr w:rsidR="00D17372" w:rsidRPr="008D63E4">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rsidR="00D17372" w:rsidRPr="008D63E4" w:rsidRDefault="00842DB6">
            <w:pPr>
              <w:rPr>
                <w:color w:val="385623" w:themeColor="accent6" w:themeShade="80"/>
                <w:sz w:val="18"/>
              </w:rPr>
            </w:pPr>
            <w:r w:rsidRPr="008D63E4">
              <w:rPr>
                <w:rFonts w:ascii="Arial" w:eastAsia="Arial" w:hAnsi="Arial" w:cs="Arial"/>
                <w:b/>
                <w:bCs/>
                <w:color w:val="385623" w:themeColor="accent6" w:themeShade="80"/>
                <w:sz w:val="18"/>
                <w:szCs w:val="22"/>
              </w:rPr>
              <w:t>Duration</w:t>
            </w:r>
          </w:p>
        </w:tc>
        <w:tc>
          <w:tcPr>
            <w:tcW w:w="65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rsidR="00D17372" w:rsidRPr="008D63E4" w:rsidRDefault="00842DB6">
            <w:pPr>
              <w:rPr>
                <w:sz w:val="18"/>
              </w:rPr>
            </w:pPr>
            <w:r w:rsidRPr="008D63E4">
              <w:rPr>
                <w:rFonts w:ascii="Arial" w:eastAsia="Arial" w:hAnsi="Arial" w:cs="Arial"/>
                <w:sz w:val="18"/>
                <w:szCs w:val="22"/>
              </w:rPr>
              <w:t>Initially 6 months with possibility of extension</w:t>
            </w:r>
          </w:p>
        </w:tc>
      </w:tr>
      <w:tr w:rsidR="00D17372" w:rsidRPr="008D63E4">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rsidR="00D17372" w:rsidRPr="008D63E4" w:rsidRDefault="00842DB6">
            <w:pPr>
              <w:rPr>
                <w:color w:val="385623" w:themeColor="accent6" w:themeShade="80"/>
                <w:sz w:val="18"/>
              </w:rPr>
            </w:pPr>
            <w:r w:rsidRPr="008D63E4">
              <w:rPr>
                <w:rFonts w:ascii="Arial" w:eastAsia="Arial" w:hAnsi="Arial" w:cs="Arial"/>
                <w:b/>
                <w:bCs/>
                <w:color w:val="385623" w:themeColor="accent6" w:themeShade="80"/>
                <w:sz w:val="18"/>
                <w:szCs w:val="22"/>
              </w:rPr>
              <w:t>Hours</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rsidR="00D17372" w:rsidRPr="008D63E4" w:rsidRDefault="00842DB6">
            <w:pPr>
              <w:rPr>
                <w:sz w:val="18"/>
              </w:rPr>
            </w:pPr>
            <w:r w:rsidRPr="008D63E4">
              <w:rPr>
                <w:rFonts w:ascii="Arial" w:eastAsia="Arial" w:hAnsi="Arial" w:cs="Arial"/>
                <w:sz w:val="18"/>
                <w:szCs w:val="22"/>
              </w:rPr>
              <w:t>35 hours per week, Monday to Friday</w:t>
            </w:r>
          </w:p>
        </w:tc>
      </w:tr>
      <w:tr w:rsidR="00D17372" w:rsidRPr="008D63E4">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rsidR="00D17372" w:rsidRPr="008D63E4" w:rsidRDefault="00842DB6">
            <w:pPr>
              <w:rPr>
                <w:color w:val="385623" w:themeColor="accent6" w:themeShade="80"/>
                <w:sz w:val="18"/>
              </w:rPr>
            </w:pPr>
            <w:r w:rsidRPr="008D63E4">
              <w:rPr>
                <w:rFonts w:ascii="Arial" w:eastAsia="Arial" w:hAnsi="Arial" w:cs="Arial"/>
                <w:b/>
                <w:bCs/>
                <w:color w:val="385623" w:themeColor="accent6" w:themeShade="80"/>
                <w:sz w:val="18"/>
                <w:szCs w:val="22"/>
              </w:rPr>
              <w:t>Salary</w:t>
            </w:r>
          </w:p>
        </w:tc>
        <w:tc>
          <w:tcPr>
            <w:tcW w:w="65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rsidR="00D17372" w:rsidRPr="008D63E4" w:rsidRDefault="00842DB6">
            <w:pPr>
              <w:rPr>
                <w:sz w:val="18"/>
              </w:rPr>
            </w:pPr>
            <w:r w:rsidRPr="008D63E4">
              <w:rPr>
                <w:rFonts w:ascii="Arial" w:eastAsia="Arial" w:hAnsi="Arial" w:cs="Arial"/>
                <w:sz w:val="18"/>
                <w:szCs w:val="22"/>
              </w:rPr>
              <w:t>Dependent on Experience</w:t>
            </w:r>
          </w:p>
        </w:tc>
      </w:tr>
      <w:tr w:rsidR="00D17372" w:rsidRPr="008D63E4">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rsidR="00D17372" w:rsidRPr="008D63E4" w:rsidRDefault="00842DB6">
            <w:pPr>
              <w:rPr>
                <w:color w:val="385623" w:themeColor="accent6" w:themeShade="80"/>
                <w:sz w:val="18"/>
              </w:rPr>
            </w:pPr>
            <w:r w:rsidRPr="008D63E4">
              <w:rPr>
                <w:rFonts w:ascii="Arial" w:eastAsia="Arial" w:hAnsi="Arial" w:cs="Arial"/>
                <w:b/>
                <w:bCs/>
                <w:color w:val="385623" w:themeColor="accent6" w:themeShade="80"/>
                <w:sz w:val="18"/>
                <w:szCs w:val="22"/>
              </w:rPr>
              <w:t>Annual Leave</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rsidR="00D17372" w:rsidRPr="008D63E4" w:rsidRDefault="00842DB6">
            <w:pPr>
              <w:rPr>
                <w:sz w:val="18"/>
              </w:rPr>
            </w:pPr>
            <w:r w:rsidRPr="008D63E4">
              <w:rPr>
                <w:rFonts w:ascii="Arial" w:eastAsia="Arial" w:hAnsi="Arial" w:cs="Arial"/>
                <w:sz w:val="18"/>
                <w:szCs w:val="22"/>
              </w:rPr>
              <w:t>25 days per annum (pro rata for part-time)</w:t>
            </w:r>
          </w:p>
        </w:tc>
      </w:tr>
      <w:tr w:rsidR="00D17372" w:rsidRPr="008D63E4">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rsidR="00D17372" w:rsidRPr="008D63E4" w:rsidRDefault="00842DB6">
            <w:pPr>
              <w:rPr>
                <w:color w:val="385623" w:themeColor="accent6" w:themeShade="80"/>
                <w:sz w:val="18"/>
              </w:rPr>
            </w:pPr>
            <w:r w:rsidRPr="008D63E4">
              <w:rPr>
                <w:rFonts w:ascii="Arial" w:eastAsia="Arial" w:hAnsi="Arial" w:cs="Arial"/>
                <w:b/>
                <w:bCs/>
                <w:color w:val="385623" w:themeColor="accent6" w:themeShade="80"/>
                <w:sz w:val="18"/>
                <w:szCs w:val="22"/>
              </w:rPr>
              <w:t>Location</w:t>
            </w:r>
          </w:p>
        </w:tc>
        <w:tc>
          <w:tcPr>
            <w:tcW w:w="65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rsidR="00D17372" w:rsidRPr="008D63E4" w:rsidRDefault="00842DB6">
            <w:pPr>
              <w:rPr>
                <w:sz w:val="18"/>
              </w:rPr>
            </w:pPr>
            <w:r w:rsidRPr="008D63E4">
              <w:rPr>
                <w:rFonts w:ascii="Arial" w:eastAsia="Arial" w:hAnsi="Arial" w:cs="Arial"/>
                <w:sz w:val="18"/>
                <w:szCs w:val="22"/>
              </w:rPr>
              <w:t xml:space="preserve">Shannow Family Resource </w:t>
            </w:r>
            <w:r w:rsidR="000B401E" w:rsidRPr="008D63E4">
              <w:rPr>
                <w:rFonts w:ascii="Arial" w:eastAsia="Arial" w:hAnsi="Arial" w:cs="Arial"/>
                <w:sz w:val="18"/>
                <w:szCs w:val="22"/>
              </w:rPr>
              <w:t xml:space="preserve">Centre, The Cloisters, </w:t>
            </w:r>
            <w:proofErr w:type="spellStart"/>
            <w:r w:rsidR="000B401E" w:rsidRPr="008D63E4">
              <w:rPr>
                <w:rFonts w:ascii="Arial" w:eastAsia="Arial" w:hAnsi="Arial" w:cs="Arial"/>
                <w:sz w:val="18"/>
                <w:szCs w:val="22"/>
              </w:rPr>
              <w:t>Abbeydorney</w:t>
            </w:r>
            <w:proofErr w:type="spellEnd"/>
            <w:r w:rsidR="000B401E" w:rsidRPr="008D63E4">
              <w:rPr>
                <w:rFonts w:ascii="Arial" w:eastAsia="Arial" w:hAnsi="Arial" w:cs="Arial"/>
                <w:sz w:val="18"/>
                <w:szCs w:val="22"/>
              </w:rPr>
              <w:t xml:space="preserve">, </w:t>
            </w:r>
            <w:proofErr w:type="spellStart"/>
            <w:r w:rsidR="000B401E" w:rsidRPr="008D63E4">
              <w:rPr>
                <w:rFonts w:ascii="Arial" w:eastAsia="Arial" w:hAnsi="Arial" w:cs="Arial"/>
                <w:sz w:val="18"/>
                <w:szCs w:val="22"/>
              </w:rPr>
              <w:t>Co.Kerry</w:t>
            </w:r>
            <w:proofErr w:type="spellEnd"/>
          </w:p>
        </w:tc>
      </w:tr>
      <w:tr w:rsidR="00D17372" w:rsidRPr="008D63E4">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rsidR="00D17372" w:rsidRPr="008D63E4" w:rsidRDefault="00842DB6">
            <w:pPr>
              <w:rPr>
                <w:color w:val="385623" w:themeColor="accent6" w:themeShade="80"/>
                <w:sz w:val="18"/>
              </w:rPr>
            </w:pPr>
            <w:r w:rsidRPr="008D63E4">
              <w:rPr>
                <w:rFonts w:ascii="Arial" w:eastAsia="Arial" w:hAnsi="Arial" w:cs="Arial"/>
                <w:b/>
                <w:bCs/>
                <w:color w:val="385623" w:themeColor="accent6" w:themeShade="80"/>
                <w:sz w:val="18"/>
                <w:szCs w:val="22"/>
              </w:rPr>
              <w:t>Reporting To</w:t>
            </w:r>
          </w:p>
        </w:tc>
        <w:tc>
          <w:tcPr>
            <w:tcW w:w="6560" w:type="dxa"/>
            <w:tcBorders>
              <w:top w:val="single" w:sz="1" w:space="0" w:color="CCCCCC"/>
              <w:left w:val="single" w:sz="1" w:space="0" w:color="CCCCCC"/>
              <w:bottom w:val="single" w:sz="1" w:space="0" w:color="CCCCCC"/>
              <w:right w:val="single" w:sz="1" w:space="0" w:color="CCCCCC"/>
            </w:tcBorders>
            <w:shd w:val="clear" w:color="auto" w:fill="EBF3FB"/>
            <w:tcMar>
              <w:top w:w="100" w:type="dxa"/>
              <w:left w:w="140" w:type="dxa"/>
              <w:bottom w:w="100" w:type="dxa"/>
              <w:right w:w="140" w:type="dxa"/>
            </w:tcMar>
          </w:tcPr>
          <w:p w:rsidR="00D17372" w:rsidRPr="008D63E4" w:rsidRDefault="00842DB6">
            <w:pPr>
              <w:rPr>
                <w:sz w:val="18"/>
              </w:rPr>
            </w:pPr>
            <w:r w:rsidRPr="008D63E4">
              <w:rPr>
                <w:rFonts w:ascii="Arial" w:eastAsia="Arial" w:hAnsi="Arial" w:cs="Arial"/>
                <w:sz w:val="18"/>
                <w:szCs w:val="22"/>
              </w:rPr>
              <w:t>Manager, Shannow Family Resource Centre</w:t>
            </w:r>
          </w:p>
        </w:tc>
      </w:tr>
      <w:tr w:rsidR="00D17372" w:rsidRPr="008D63E4">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40" w:type="dxa"/>
              <w:bottom w:w="100" w:type="dxa"/>
              <w:right w:w="140" w:type="dxa"/>
            </w:tcMar>
          </w:tcPr>
          <w:p w:rsidR="00D17372" w:rsidRPr="008D63E4" w:rsidRDefault="00842DB6">
            <w:pPr>
              <w:rPr>
                <w:color w:val="385623" w:themeColor="accent6" w:themeShade="80"/>
                <w:sz w:val="18"/>
              </w:rPr>
            </w:pPr>
            <w:r w:rsidRPr="008D63E4">
              <w:rPr>
                <w:rFonts w:ascii="Arial" w:eastAsia="Arial" w:hAnsi="Arial" w:cs="Arial"/>
                <w:b/>
                <w:bCs/>
                <w:color w:val="385623" w:themeColor="accent6" w:themeShade="80"/>
                <w:sz w:val="18"/>
                <w:szCs w:val="22"/>
              </w:rPr>
              <w:t>Garda Vetting</w:t>
            </w:r>
          </w:p>
        </w:tc>
        <w:tc>
          <w:tcPr>
            <w:tcW w:w="65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rsidR="00D17372" w:rsidRPr="008D63E4" w:rsidRDefault="00842DB6">
            <w:pPr>
              <w:rPr>
                <w:sz w:val="18"/>
              </w:rPr>
            </w:pPr>
            <w:r w:rsidRPr="008D63E4">
              <w:rPr>
                <w:rFonts w:ascii="Arial" w:eastAsia="Arial" w:hAnsi="Arial" w:cs="Arial"/>
                <w:sz w:val="18"/>
                <w:szCs w:val="22"/>
              </w:rPr>
              <w:t>Required — position is subject to satisfactory Garda Vetting</w:t>
            </w:r>
          </w:p>
        </w:tc>
      </w:tr>
    </w:tbl>
    <w:p w:rsidR="00D17372" w:rsidRPr="008D63E4" w:rsidRDefault="00D17372">
      <w:pPr>
        <w:spacing w:after="200"/>
        <w:rPr>
          <w:sz w:val="18"/>
        </w:rPr>
      </w:pPr>
    </w:p>
    <w:p w:rsidR="008D63E4" w:rsidRPr="008D63E4" w:rsidRDefault="008D63E4" w:rsidP="008D63E4">
      <w:pPr>
        <w:pBdr>
          <w:bottom w:val="single" w:sz="8" w:space="4" w:color="2E75B6"/>
        </w:pBdr>
        <w:spacing w:before="200"/>
        <w:rPr>
          <w:color w:val="385623" w:themeColor="accent6" w:themeShade="80"/>
          <w:sz w:val="18"/>
        </w:rPr>
      </w:pPr>
      <w:r w:rsidRPr="008D63E4">
        <w:rPr>
          <w:rFonts w:ascii="Arial" w:eastAsia="Arial" w:hAnsi="Arial" w:cs="Arial"/>
          <w:b/>
          <w:bCs/>
          <w:color w:val="385623" w:themeColor="accent6" w:themeShade="80"/>
          <w:sz w:val="24"/>
          <w:szCs w:val="26"/>
        </w:rPr>
        <w:t>About Shannow Family Resource Centre</w:t>
      </w:r>
    </w:p>
    <w:p w:rsidR="008D63E4" w:rsidRPr="008D63E4" w:rsidRDefault="008D63E4" w:rsidP="008D63E4">
      <w:pPr>
        <w:spacing w:after="80"/>
        <w:rPr>
          <w:sz w:val="18"/>
        </w:rPr>
      </w:pPr>
    </w:p>
    <w:p w:rsidR="008D63E4" w:rsidRPr="008D63E4" w:rsidRDefault="008D63E4" w:rsidP="008D63E4">
      <w:pPr>
        <w:spacing w:after="120"/>
        <w:rPr>
          <w:sz w:val="18"/>
        </w:rPr>
      </w:pPr>
      <w:r w:rsidRPr="008D63E4">
        <w:rPr>
          <w:rFonts w:ascii="Arial" w:eastAsia="Arial" w:hAnsi="Arial" w:cs="Arial"/>
          <w:color w:val="000000"/>
          <w:szCs w:val="22"/>
        </w:rPr>
        <w:t xml:space="preserve">Shannow Family Resource Centre is a TUSLA-funded service providing family support and community development services to families and individuals in the </w:t>
      </w:r>
      <w:r w:rsidR="00087F2A" w:rsidRPr="00087F2A">
        <w:rPr>
          <w:rFonts w:ascii="Arial" w:eastAsia="Arial" w:hAnsi="Arial" w:cs="Arial"/>
          <w:color w:val="000000"/>
          <w:szCs w:val="22"/>
        </w:rPr>
        <w:t xml:space="preserve">villages of </w:t>
      </w:r>
      <w:r w:rsidR="00087F2A" w:rsidRPr="00087F2A">
        <w:rPr>
          <w:rFonts w:ascii="Arial" w:eastAsia="Arial" w:hAnsi="Arial" w:cs="Arial"/>
          <w:b/>
          <w:bCs/>
          <w:color w:val="000000"/>
          <w:szCs w:val="22"/>
        </w:rPr>
        <w:t>Abbeydorney</w:t>
      </w:r>
      <w:r w:rsidR="00087F2A" w:rsidRPr="00087F2A">
        <w:rPr>
          <w:rFonts w:ascii="Arial" w:eastAsia="Arial" w:hAnsi="Arial" w:cs="Arial"/>
          <w:color w:val="000000"/>
          <w:szCs w:val="22"/>
        </w:rPr>
        <w:t xml:space="preserve">, </w:t>
      </w:r>
      <w:r w:rsidR="00087F2A" w:rsidRPr="00087F2A">
        <w:rPr>
          <w:rFonts w:ascii="Arial" w:eastAsia="Arial" w:hAnsi="Arial" w:cs="Arial"/>
          <w:b/>
          <w:bCs/>
          <w:color w:val="000000"/>
          <w:szCs w:val="22"/>
        </w:rPr>
        <w:t>Kilflynn</w:t>
      </w:r>
      <w:r w:rsidR="00087F2A" w:rsidRPr="00087F2A">
        <w:rPr>
          <w:rFonts w:ascii="Arial" w:eastAsia="Arial" w:hAnsi="Arial" w:cs="Arial"/>
          <w:color w:val="000000"/>
          <w:szCs w:val="22"/>
        </w:rPr>
        <w:t xml:space="preserve">, </w:t>
      </w:r>
      <w:r w:rsidR="00087F2A" w:rsidRPr="00087F2A">
        <w:rPr>
          <w:rFonts w:ascii="Arial" w:eastAsia="Arial" w:hAnsi="Arial" w:cs="Arial"/>
          <w:b/>
          <w:bCs/>
          <w:color w:val="000000"/>
          <w:szCs w:val="22"/>
        </w:rPr>
        <w:t>Killahan</w:t>
      </w:r>
      <w:r w:rsidR="00087F2A" w:rsidRPr="00087F2A">
        <w:rPr>
          <w:rFonts w:ascii="Arial" w:eastAsia="Arial" w:hAnsi="Arial" w:cs="Arial"/>
          <w:color w:val="000000"/>
          <w:szCs w:val="22"/>
        </w:rPr>
        <w:t xml:space="preserve">, and </w:t>
      </w:r>
      <w:r w:rsidR="00087F2A" w:rsidRPr="00087F2A">
        <w:rPr>
          <w:rFonts w:ascii="Arial" w:eastAsia="Arial" w:hAnsi="Arial" w:cs="Arial"/>
          <w:b/>
          <w:bCs/>
          <w:color w:val="000000"/>
          <w:szCs w:val="22"/>
        </w:rPr>
        <w:t>Lixnaw</w:t>
      </w:r>
      <w:r w:rsidR="00087F2A" w:rsidRPr="00087F2A">
        <w:rPr>
          <w:rFonts w:ascii="Arial" w:eastAsia="Arial" w:hAnsi="Arial" w:cs="Arial"/>
          <w:color w:val="000000"/>
          <w:szCs w:val="22"/>
        </w:rPr>
        <w:t xml:space="preserve"> in County Kerry</w:t>
      </w:r>
      <w:r w:rsidRPr="008D63E4">
        <w:rPr>
          <w:rFonts w:ascii="Arial" w:eastAsia="Arial" w:hAnsi="Arial" w:cs="Arial"/>
          <w:color w:val="000000"/>
          <w:szCs w:val="22"/>
        </w:rPr>
        <w:t>. We are a small, community-focused organisation committed to building the confidence and capacity of local families and communities.</w:t>
      </w:r>
    </w:p>
    <w:p w:rsidR="008D63E4" w:rsidRPr="008D63E4" w:rsidRDefault="008D63E4" w:rsidP="008D63E4">
      <w:pPr>
        <w:spacing w:after="160"/>
        <w:rPr>
          <w:sz w:val="18"/>
        </w:rPr>
      </w:pPr>
    </w:p>
    <w:p w:rsidR="008D63E4" w:rsidRPr="008D63E4" w:rsidRDefault="008D63E4" w:rsidP="008D63E4">
      <w:pPr>
        <w:pBdr>
          <w:bottom w:val="single" w:sz="8" w:space="4" w:color="2E75B6"/>
        </w:pBdr>
        <w:spacing w:before="200"/>
        <w:rPr>
          <w:color w:val="385623" w:themeColor="accent6" w:themeShade="80"/>
          <w:sz w:val="18"/>
        </w:rPr>
      </w:pPr>
      <w:r w:rsidRPr="008D63E4">
        <w:rPr>
          <w:rFonts w:ascii="Arial" w:eastAsia="Arial" w:hAnsi="Arial" w:cs="Arial"/>
          <w:b/>
          <w:bCs/>
          <w:color w:val="385623" w:themeColor="accent6" w:themeShade="80"/>
          <w:sz w:val="24"/>
          <w:szCs w:val="26"/>
        </w:rPr>
        <w:t>Overall Purpose of the Role</w:t>
      </w:r>
    </w:p>
    <w:p w:rsidR="008D63E4" w:rsidRPr="008D63E4" w:rsidRDefault="008D63E4" w:rsidP="008D63E4">
      <w:pPr>
        <w:spacing w:after="80"/>
        <w:rPr>
          <w:sz w:val="18"/>
        </w:rPr>
      </w:pPr>
    </w:p>
    <w:p w:rsidR="008D63E4" w:rsidRPr="008D63E4" w:rsidRDefault="008D63E4" w:rsidP="008D63E4">
      <w:pPr>
        <w:spacing w:after="120"/>
        <w:rPr>
          <w:sz w:val="18"/>
        </w:rPr>
      </w:pPr>
      <w:r w:rsidRPr="008D63E4">
        <w:rPr>
          <w:rFonts w:ascii="Arial" w:eastAsia="Arial" w:hAnsi="Arial" w:cs="Arial"/>
          <w:color w:val="000000"/>
          <w:szCs w:val="22"/>
        </w:rPr>
        <w:t>The Family Support / Community Development Worker will work with the Manager to implement the Centre's work plan. The successful candidate will work in the community to determine the needs within the area and build the confidence and capacity of individuals, families and groups through supporting and developing relevant programmes and activities. The role also involves networking with service providers and other agencies and active participation in relevant interagency work.</w:t>
      </w:r>
    </w:p>
    <w:p w:rsidR="008D63E4" w:rsidRPr="008D63E4" w:rsidRDefault="008D63E4" w:rsidP="008D63E4">
      <w:pPr>
        <w:spacing w:after="160"/>
        <w:rPr>
          <w:sz w:val="18"/>
        </w:rPr>
      </w:pPr>
    </w:p>
    <w:p w:rsidR="008D63E4" w:rsidRPr="008D63E4" w:rsidRDefault="008D63E4" w:rsidP="008D63E4">
      <w:pPr>
        <w:pBdr>
          <w:bottom w:val="single" w:sz="8" w:space="4" w:color="2E75B6"/>
        </w:pBdr>
        <w:spacing w:before="200"/>
        <w:rPr>
          <w:color w:val="385623" w:themeColor="accent6" w:themeShade="80"/>
          <w:sz w:val="18"/>
        </w:rPr>
      </w:pPr>
      <w:r w:rsidRPr="008D63E4">
        <w:rPr>
          <w:rFonts w:ascii="Arial" w:eastAsia="Arial" w:hAnsi="Arial" w:cs="Arial"/>
          <w:b/>
          <w:bCs/>
          <w:color w:val="385623" w:themeColor="accent6" w:themeShade="80"/>
          <w:sz w:val="24"/>
          <w:szCs w:val="26"/>
        </w:rPr>
        <w:t>Key Areas of Work</w:t>
      </w:r>
    </w:p>
    <w:p w:rsidR="008D63E4" w:rsidRPr="008D63E4" w:rsidRDefault="008D63E4" w:rsidP="008D63E4">
      <w:pPr>
        <w:spacing w:after="80"/>
        <w:rPr>
          <w:sz w:val="18"/>
        </w:rPr>
      </w:pP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Implement TUSLA's five national outcomes for children and young people and deliver a range of family and parent supports in line with the Centre's Work plan</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Work collaboratively as part of the Meitheal Programme and support interagency cooperation with statutory and voluntary agencies</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Provide information and support to individuals, families and groups experiencing disadvantage</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Develop and support community initiatives and groups that address local needs and build community capacity</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Organise and facilitate training, outreach and community events</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Promote local target group involvement in the Centre and raise the profile of the Centre and its services</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lastRenderedPageBreak/>
        <w:t>Identify factors leading to disadvantage and work with the Manager and Board to raise awareness</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Facilitate networking at local and regional level and support funding applications as required</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Work closely with the Manager to support voluntary and community activities that address disadvantage and inequality</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Document work on an ongoing basis and prepare regular progress reports for the Manager and Board of Directors</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Participate in planning, review, evaluation and relevant training</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Any other duties as assigned by the Manager</w:t>
      </w:r>
    </w:p>
    <w:p w:rsidR="008D63E4" w:rsidRPr="008D63E4" w:rsidRDefault="008D63E4" w:rsidP="008D63E4">
      <w:pPr>
        <w:spacing w:after="160"/>
        <w:rPr>
          <w:sz w:val="18"/>
        </w:rPr>
      </w:pPr>
    </w:p>
    <w:p w:rsidR="008D63E4" w:rsidRPr="008D63E4" w:rsidRDefault="008D63E4" w:rsidP="008D63E4">
      <w:pPr>
        <w:pBdr>
          <w:bottom w:val="single" w:sz="8" w:space="4" w:color="2E75B6"/>
        </w:pBdr>
        <w:spacing w:before="200"/>
        <w:rPr>
          <w:color w:val="385623" w:themeColor="accent6" w:themeShade="80"/>
          <w:sz w:val="18"/>
        </w:rPr>
      </w:pPr>
      <w:r w:rsidRPr="008D63E4">
        <w:rPr>
          <w:rFonts w:ascii="Arial" w:eastAsia="Arial" w:hAnsi="Arial" w:cs="Arial"/>
          <w:b/>
          <w:bCs/>
          <w:color w:val="385623" w:themeColor="accent6" w:themeShade="80"/>
          <w:sz w:val="24"/>
          <w:szCs w:val="26"/>
        </w:rPr>
        <w:t>Hours of Work</w:t>
      </w:r>
    </w:p>
    <w:p w:rsidR="008D63E4" w:rsidRPr="008D63E4" w:rsidRDefault="008D63E4" w:rsidP="008D63E4">
      <w:pPr>
        <w:spacing w:after="80"/>
        <w:rPr>
          <w:sz w:val="18"/>
        </w:rPr>
      </w:pPr>
    </w:p>
    <w:p w:rsidR="008D63E4" w:rsidRPr="008D63E4" w:rsidRDefault="008D63E4" w:rsidP="008D63E4">
      <w:pPr>
        <w:spacing w:after="120"/>
        <w:rPr>
          <w:sz w:val="18"/>
        </w:rPr>
      </w:pPr>
      <w:r w:rsidRPr="008D63E4">
        <w:rPr>
          <w:rFonts w:ascii="Arial" w:eastAsia="Arial" w:hAnsi="Arial" w:cs="Arial"/>
          <w:color w:val="000000"/>
          <w:szCs w:val="22"/>
        </w:rPr>
        <w:t>The post is full-time — 35 ho</w:t>
      </w:r>
      <w:r w:rsidR="00087F2A">
        <w:rPr>
          <w:rFonts w:ascii="Arial" w:eastAsia="Arial" w:hAnsi="Arial" w:cs="Arial"/>
          <w:color w:val="000000"/>
          <w:szCs w:val="22"/>
        </w:rPr>
        <w:t>urs per week. Core hours are 9.3</w:t>
      </w:r>
      <w:r w:rsidRPr="008D63E4">
        <w:rPr>
          <w:rFonts w:ascii="Arial" w:eastAsia="Arial" w:hAnsi="Arial" w:cs="Arial"/>
          <w:color w:val="000000"/>
          <w:szCs w:val="22"/>
        </w:rPr>
        <w:t xml:space="preserve">0am </w:t>
      </w:r>
      <w:r w:rsidR="00087F2A">
        <w:rPr>
          <w:rFonts w:ascii="Arial" w:eastAsia="Arial" w:hAnsi="Arial" w:cs="Arial"/>
          <w:color w:val="000000"/>
          <w:szCs w:val="22"/>
        </w:rPr>
        <w:t>5.3</w:t>
      </w:r>
      <w:r w:rsidRPr="008D63E4">
        <w:rPr>
          <w:rFonts w:ascii="Arial" w:eastAsia="Arial" w:hAnsi="Arial" w:cs="Arial"/>
          <w:color w:val="000000"/>
          <w:szCs w:val="22"/>
        </w:rPr>
        <w:t xml:space="preserve">0pm, Monday to Friday, unless otherwise agreed with the Manager. The post holder will be expected to be flexible about evening and weekend work as required. Overtime </w:t>
      </w:r>
      <w:proofErr w:type="gramStart"/>
      <w:r w:rsidRPr="008D63E4">
        <w:rPr>
          <w:rFonts w:ascii="Arial" w:eastAsia="Arial" w:hAnsi="Arial" w:cs="Arial"/>
          <w:color w:val="000000"/>
          <w:szCs w:val="22"/>
        </w:rPr>
        <w:t>will no</w:t>
      </w:r>
      <w:bookmarkStart w:id="0" w:name="_GoBack"/>
      <w:bookmarkEnd w:id="0"/>
      <w:r w:rsidRPr="008D63E4">
        <w:rPr>
          <w:rFonts w:ascii="Arial" w:eastAsia="Arial" w:hAnsi="Arial" w:cs="Arial"/>
          <w:color w:val="000000"/>
          <w:szCs w:val="22"/>
        </w:rPr>
        <w:t>t be paid</w:t>
      </w:r>
      <w:proofErr w:type="gramEnd"/>
      <w:r w:rsidRPr="008D63E4">
        <w:rPr>
          <w:rFonts w:ascii="Arial" w:eastAsia="Arial" w:hAnsi="Arial" w:cs="Arial"/>
          <w:color w:val="000000"/>
          <w:szCs w:val="22"/>
        </w:rPr>
        <w:t xml:space="preserve"> for such hours but time off in lieu will be granted.</w:t>
      </w:r>
    </w:p>
    <w:p w:rsidR="008D63E4" w:rsidRPr="008D63E4" w:rsidRDefault="008D63E4" w:rsidP="008D63E4">
      <w:pPr>
        <w:spacing w:after="160"/>
        <w:rPr>
          <w:sz w:val="18"/>
        </w:rPr>
      </w:pPr>
    </w:p>
    <w:p w:rsidR="008D63E4" w:rsidRPr="008D63E4" w:rsidRDefault="008D63E4" w:rsidP="008D63E4">
      <w:pPr>
        <w:pBdr>
          <w:bottom w:val="single" w:sz="8" w:space="4" w:color="2E75B6"/>
        </w:pBdr>
        <w:spacing w:before="200"/>
        <w:rPr>
          <w:color w:val="385623" w:themeColor="accent6" w:themeShade="80"/>
          <w:sz w:val="18"/>
        </w:rPr>
      </w:pPr>
      <w:r w:rsidRPr="008D63E4">
        <w:rPr>
          <w:rFonts w:ascii="Arial" w:eastAsia="Arial" w:hAnsi="Arial" w:cs="Arial"/>
          <w:b/>
          <w:bCs/>
          <w:color w:val="385623" w:themeColor="accent6" w:themeShade="80"/>
          <w:sz w:val="24"/>
          <w:szCs w:val="26"/>
        </w:rPr>
        <w:t>Essential Qualifications and Experience</w:t>
      </w:r>
    </w:p>
    <w:p w:rsidR="008D63E4" w:rsidRPr="008D63E4" w:rsidRDefault="008D63E4" w:rsidP="008D63E4">
      <w:pPr>
        <w:spacing w:after="80"/>
        <w:rPr>
          <w:sz w:val="18"/>
        </w:rPr>
      </w:pPr>
    </w:p>
    <w:p w:rsidR="008D63E4" w:rsidRPr="00690F95" w:rsidRDefault="008D63E4" w:rsidP="008D63E4">
      <w:pPr>
        <w:pStyle w:val="ListParagraph"/>
        <w:numPr>
          <w:ilvl w:val="0"/>
          <w:numId w:val="4"/>
        </w:numPr>
        <w:spacing w:after="80"/>
        <w:rPr>
          <w:sz w:val="18"/>
        </w:rPr>
      </w:pPr>
      <w:r w:rsidRPr="008D63E4">
        <w:rPr>
          <w:rFonts w:ascii="Arial" w:eastAsia="Arial" w:hAnsi="Arial" w:cs="Arial"/>
          <w:szCs w:val="22"/>
        </w:rPr>
        <w:t xml:space="preserve">A relevant </w:t>
      </w:r>
      <w:r w:rsidR="00087F2A">
        <w:rPr>
          <w:rFonts w:ascii="Arial" w:eastAsia="Arial" w:hAnsi="Arial" w:cs="Arial"/>
          <w:szCs w:val="22"/>
        </w:rPr>
        <w:t>third-level</w:t>
      </w:r>
      <w:r w:rsidRPr="008D63E4">
        <w:rPr>
          <w:rFonts w:ascii="Arial" w:eastAsia="Arial" w:hAnsi="Arial" w:cs="Arial"/>
          <w:szCs w:val="22"/>
        </w:rPr>
        <w:t xml:space="preserve"> qualification in Social Care, Early Childhood, Youth Work, Family Support, Community Development, Social Science, Applied Social Studies, Youth and Community Work, or a related discipline</w:t>
      </w:r>
    </w:p>
    <w:p w:rsidR="00690F95" w:rsidRDefault="00690F95" w:rsidP="00690F95">
      <w:pPr>
        <w:pStyle w:val="ListParagraph"/>
        <w:numPr>
          <w:ilvl w:val="0"/>
          <w:numId w:val="4"/>
        </w:numPr>
        <w:spacing w:after="80"/>
        <w:rPr>
          <w:sz w:val="18"/>
        </w:rPr>
      </w:pPr>
      <w:r w:rsidRPr="00690F95">
        <w:rPr>
          <w:rFonts w:ascii="Arial" w:eastAsia="Arial" w:hAnsi="Arial" w:cs="Arial"/>
          <w:szCs w:val="22"/>
        </w:rPr>
        <w:t>A minimum of 2 years' experience in community development practice, with a specific focus on working with families and children in a community or social care setting.</w:t>
      </w:r>
    </w:p>
    <w:p w:rsidR="008D63E4" w:rsidRPr="00690F95" w:rsidRDefault="00690F95" w:rsidP="00690F95">
      <w:pPr>
        <w:pStyle w:val="ListParagraph"/>
        <w:numPr>
          <w:ilvl w:val="0"/>
          <w:numId w:val="4"/>
        </w:numPr>
        <w:spacing w:after="80"/>
        <w:rPr>
          <w:sz w:val="18"/>
        </w:rPr>
      </w:pPr>
      <w:r>
        <w:rPr>
          <w:sz w:val="18"/>
        </w:rPr>
        <w:t>K</w:t>
      </w:r>
      <w:r w:rsidR="008D63E4" w:rsidRPr="00690F95">
        <w:rPr>
          <w:rFonts w:ascii="Arial" w:eastAsia="Arial" w:hAnsi="Arial" w:cs="Arial"/>
          <w:szCs w:val="22"/>
        </w:rPr>
        <w:t>nowledge of the TUSLA Family Resource Centre Programme and the national outcomes for children and young people</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Understanding of the Meitheal Programme and interagency working</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Knowledge of community development values and principles</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Experience of partnership and interagency working</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Strong communication, interpersonal and organisational skills</w:t>
      </w:r>
    </w:p>
    <w:p w:rsidR="008D63E4" w:rsidRPr="008D63E4" w:rsidRDefault="008D63E4" w:rsidP="008D63E4">
      <w:pPr>
        <w:pStyle w:val="ListParagraph"/>
        <w:numPr>
          <w:ilvl w:val="0"/>
          <w:numId w:val="4"/>
        </w:numPr>
        <w:spacing w:after="80"/>
        <w:rPr>
          <w:sz w:val="18"/>
        </w:rPr>
      </w:pPr>
      <w:r w:rsidRPr="008D63E4">
        <w:rPr>
          <w:rFonts w:ascii="Arial" w:eastAsia="Arial" w:hAnsi="Arial" w:cs="Arial"/>
          <w:szCs w:val="22"/>
        </w:rPr>
        <w:t>Ability to work on own initiative and as part of a small team</w:t>
      </w:r>
    </w:p>
    <w:p w:rsidR="00D17372" w:rsidRPr="008D63E4" w:rsidRDefault="00D17372">
      <w:pPr>
        <w:spacing w:after="200"/>
        <w:rPr>
          <w:sz w:val="1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CellMar>
          <w:left w:w="10" w:type="dxa"/>
          <w:right w:w="10" w:type="dxa"/>
        </w:tblCellMar>
        <w:tblLook w:val="0000" w:firstRow="0" w:lastRow="0" w:firstColumn="0" w:lastColumn="0" w:noHBand="0" w:noVBand="0"/>
      </w:tblPr>
      <w:tblGrid>
        <w:gridCol w:w="9360"/>
      </w:tblGrid>
      <w:tr w:rsidR="00D17372" w:rsidRPr="008D63E4" w:rsidTr="00590EF1">
        <w:tc>
          <w:tcPr>
            <w:tcW w:w="9360" w:type="dxa"/>
            <w:shd w:val="clear" w:color="auto" w:fill="E2EFD9" w:themeFill="accent6" w:themeFillTint="33"/>
            <w:tcMar>
              <w:top w:w="240" w:type="dxa"/>
              <w:left w:w="300" w:type="dxa"/>
              <w:bottom w:w="240" w:type="dxa"/>
              <w:right w:w="300" w:type="dxa"/>
            </w:tcMar>
          </w:tcPr>
          <w:p w:rsidR="00D17372" w:rsidRPr="008D63E4" w:rsidRDefault="00842DB6">
            <w:pPr>
              <w:spacing w:after="100"/>
              <w:jc w:val="center"/>
              <w:rPr>
                <w:color w:val="385623" w:themeColor="accent6" w:themeShade="80"/>
                <w:sz w:val="18"/>
              </w:rPr>
            </w:pPr>
            <w:r w:rsidRPr="008D63E4">
              <w:rPr>
                <w:rFonts w:ascii="Arial" w:eastAsia="Arial" w:hAnsi="Arial" w:cs="Arial"/>
                <w:b/>
                <w:bCs/>
                <w:color w:val="385623" w:themeColor="accent6" w:themeShade="80"/>
                <w:sz w:val="24"/>
                <w:szCs w:val="28"/>
              </w:rPr>
              <w:t>How to Apply</w:t>
            </w:r>
          </w:p>
          <w:p w:rsidR="00690F95" w:rsidRPr="00690F95" w:rsidRDefault="00690F95" w:rsidP="00690F95">
            <w:pPr>
              <w:numPr>
                <w:ilvl w:val="0"/>
                <w:numId w:val="5"/>
              </w:numPr>
              <w:suppressAutoHyphens/>
              <w:spacing w:after="160" w:line="259" w:lineRule="auto"/>
              <w:ind w:right="-341"/>
              <w:rPr>
                <w:rFonts w:ascii="Helvetica" w:eastAsiaTheme="minorHAnsi" w:hAnsi="Helvetica" w:cs="Helvetica"/>
                <w:b/>
                <w:bCs/>
                <w:color w:val="000000"/>
                <w:sz w:val="22"/>
                <w:szCs w:val="22"/>
                <w:lang w:eastAsia="en-US"/>
              </w:rPr>
            </w:pPr>
            <w:r w:rsidRPr="00690F95">
              <w:rPr>
                <w:rFonts w:ascii="Helvetica" w:eastAsiaTheme="minorHAnsi" w:hAnsi="Helvetica" w:cs="Helvetica"/>
                <w:b/>
                <w:bCs/>
                <w:color w:val="000000"/>
                <w:sz w:val="22"/>
                <w:szCs w:val="22"/>
                <w:lang w:eastAsia="en-US"/>
              </w:rPr>
              <w:t>Please submit a current CV and cover letter outlining your specific suitability for this role. A full Job Description is available on request.</w:t>
            </w:r>
          </w:p>
          <w:p w:rsidR="00690F95" w:rsidRPr="00690F95" w:rsidRDefault="00690F95" w:rsidP="00690F95">
            <w:pPr>
              <w:numPr>
                <w:ilvl w:val="0"/>
                <w:numId w:val="5"/>
              </w:numPr>
              <w:suppressAutoHyphens/>
              <w:spacing w:after="160" w:line="259" w:lineRule="auto"/>
              <w:ind w:right="-341"/>
              <w:rPr>
                <w:rFonts w:ascii="Helvetica" w:eastAsiaTheme="minorHAnsi" w:hAnsi="Helvetica" w:cs="Helvetica"/>
                <w:b/>
                <w:bCs/>
                <w:color w:val="000000"/>
                <w:sz w:val="22"/>
                <w:szCs w:val="22"/>
                <w:lang w:eastAsia="en-US"/>
              </w:rPr>
            </w:pPr>
            <w:r w:rsidRPr="00690F95">
              <w:rPr>
                <w:rFonts w:ascii="Helvetica" w:eastAsiaTheme="minorHAnsi" w:hAnsi="Helvetica" w:cs="Helvetica"/>
                <w:b/>
                <w:bCs/>
                <w:color w:val="000000"/>
                <w:sz w:val="22"/>
                <w:szCs w:val="22"/>
                <w:lang w:eastAsia="en-US"/>
              </w:rPr>
              <w:t xml:space="preserve">Please contact in confidence: </w:t>
            </w:r>
            <w:hyperlink r:id="rId7" w:history="1">
              <w:r w:rsidRPr="00690F95">
                <w:rPr>
                  <w:rFonts w:ascii="Helvetica" w:eastAsiaTheme="minorHAnsi" w:hAnsi="Helvetica" w:cs="Helvetica"/>
                  <w:b/>
                  <w:bCs/>
                  <w:color w:val="0563C1" w:themeColor="hyperlink"/>
                  <w:sz w:val="22"/>
                  <w:szCs w:val="22"/>
                  <w:u w:val="single"/>
                  <w:lang w:eastAsia="en-US"/>
                </w:rPr>
                <w:t>shannowfrcrecruitment@gmail.com</w:t>
              </w:r>
            </w:hyperlink>
            <w:r w:rsidRPr="00690F95">
              <w:rPr>
                <w:rFonts w:ascii="Helvetica" w:eastAsiaTheme="minorHAnsi" w:hAnsi="Helvetica" w:cs="Helvetica"/>
                <w:b/>
                <w:bCs/>
                <w:color w:val="000000"/>
                <w:sz w:val="22"/>
                <w:szCs w:val="22"/>
                <w:lang w:eastAsia="en-US"/>
              </w:rPr>
              <w:t xml:space="preserve"> </w:t>
            </w:r>
          </w:p>
          <w:p w:rsidR="00690F95" w:rsidRPr="00690F95" w:rsidRDefault="00690F95" w:rsidP="00690F95">
            <w:pPr>
              <w:numPr>
                <w:ilvl w:val="0"/>
                <w:numId w:val="5"/>
              </w:numPr>
              <w:suppressAutoHyphens/>
              <w:spacing w:after="160" w:line="259" w:lineRule="auto"/>
              <w:ind w:right="-341"/>
              <w:rPr>
                <w:rFonts w:ascii="Helvetica" w:eastAsiaTheme="minorHAnsi" w:hAnsi="Helvetica" w:cs="Helvetica"/>
                <w:b/>
                <w:bCs/>
                <w:color w:val="000000"/>
                <w:sz w:val="22"/>
                <w:szCs w:val="22"/>
                <w:lang w:eastAsia="en-US"/>
              </w:rPr>
            </w:pPr>
            <w:r w:rsidRPr="00690F95">
              <w:rPr>
                <w:rFonts w:ascii="Helvetica" w:eastAsiaTheme="minorHAnsi" w:hAnsi="Helvetica" w:cs="Helvetica"/>
                <w:b/>
                <w:bCs/>
                <w:color w:val="000000"/>
                <w:sz w:val="22"/>
                <w:szCs w:val="22"/>
                <w:lang w:eastAsia="en-US"/>
              </w:rPr>
              <w:t>Closing date for applications: Sunday 14th June 2026 at 5pm</w:t>
            </w:r>
          </w:p>
          <w:p w:rsidR="00690F95" w:rsidRPr="00690F95" w:rsidRDefault="00690F95" w:rsidP="00690F95">
            <w:pPr>
              <w:numPr>
                <w:ilvl w:val="0"/>
                <w:numId w:val="5"/>
              </w:numPr>
              <w:suppressAutoHyphens/>
              <w:spacing w:after="160" w:line="259" w:lineRule="auto"/>
              <w:ind w:right="-341"/>
              <w:rPr>
                <w:rFonts w:ascii="Helvetica" w:eastAsiaTheme="minorHAnsi" w:hAnsi="Helvetica" w:cs="Helvetica"/>
                <w:b/>
                <w:bCs/>
                <w:color w:val="000000"/>
                <w:sz w:val="22"/>
                <w:szCs w:val="22"/>
                <w:lang w:eastAsia="en-US"/>
              </w:rPr>
            </w:pPr>
            <w:r w:rsidRPr="00690F95">
              <w:rPr>
                <w:rFonts w:ascii="Helvetica" w:eastAsiaTheme="minorHAnsi" w:hAnsi="Helvetica" w:cs="Helvetica"/>
                <w:b/>
                <w:bCs/>
                <w:color w:val="000000"/>
                <w:sz w:val="22"/>
                <w:szCs w:val="22"/>
                <w:lang w:eastAsia="en-US"/>
              </w:rPr>
              <w:t xml:space="preserve">Shortlisting will apply. The interview will take place the week of June </w:t>
            </w:r>
            <w:proofErr w:type="gramStart"/>
            <w:r w:rsidRPr="00690F95">
              <w:rPr>
                <w:rFonts w:ascii="Helvetica" w:eastAsiaTheme="minorHAnsi" w:hAnsi="Helvetica" w:cs="Helvetica"/>
                <w:b/>
                <w:bCs/>
                <w:color w:val="000000"/>
                <w:sz w:val="22"/>
                <w:szCs w:val="22"/>
                <w:lang w:eastAsia="en-US"/>
              </w:rPr>
              <w:t>22nd</w:t>
            </w:r>
            <w:proofErr w:type="gramEnd"/>
            <w:r w:rsidRPr="00690F95">
              <w:rPr>
                <w:rFonts w:ascii="Helvetica" w:eastAsiaTheme="minorHAnsi" w:hAnsi="Helvetica" w:cs="Helvetica"/>
                <w:b/>
                <w:bCs/>
                <w:color w:val="000000"/>
                <w:sz w:val="22"/>
                <w:szCs w:val="22"/>
                <w:lang w:eastAsia="en-US"/>
              </w:rPr>
              <w:t>, 2026.</w:t>
            </w:r>
          </w:p>
          <w:p w:rsidR="00690F95" w:rsidRPr="00690F95" w:rsidRDefault="00690F95" w:rsidP="00690F95">
            <w:pPr>
              <w:numPr>
                <w:ilvl w:val="0"/>
                <w:numId w:val="5"/>
              </w:numPr>
              <w:suppressAutoHyphens/>
              <w:spacing w:after="160" w:line="259" w:lineRule="auto"/>
              <w:ind w:right="-341"/>
              <w:rPr>
                <w:rFonts w:ascii="Helvetica" w:eastAsiaTheme="minorHAnsi" w:hAnsi="Helvetica" w:cs="Helvetica"/>
                <w:b/>
                <w:bCs/>
                <w:color w:val="000000"/>
                <w:sz w:val="22"/>
                <w:szCs w:val="22"/>
                <w:lang w:eastAsia="en-US"/>
              </w:rPr>
            </w:pPr>
            <w:r w:rsidRPr="00690F95">
              <w:rPr>
                <w:rFonts w:ascii="Helvetica" w:eastAsiaTheme="minorHAnsi" w:hAnsi="Helvetica" w:cs="Helvetica"/>
                <w:b/>
                <w:bCs/>
                <w:color w:val="000000"/>
                <w:sz w:val="22"/>
                <w:szCs w:val="22"/>
                <w:lang w:eastAsia="en-US"/>
              </w:rPr>
              <w:t>Satisfactory references, evidence of qualification and Garda vetting will be required.</w:t>
            </w:r>
          </w:p>
          <w:p w:rsidR="005929BE" w:rsidRPr="008D63E4" w:rsidRDefault="005929BE">
            <w:pPr>
              <w:spacing w:after="100"/>
              <w:jc w:val="center"/>
              <w:rPr>
                <w:color w:val="385623" w:themeColor="accent6" w:themeShade="80"/>
                <w:sz w:val="18"/>
              </w:rPr>
            </w:pPr>
          </w:p>
          <w:p w:rsidR="00D17372" w:rsidRPr="008D63E4" w:rsidRDefault="00842DB6">
            <w:pPr>
              <w:jc w:val="center"/>
              <w:rPr>
                <w:sz w:val="18"/>
              </w:rPr>
            </w:pPr>
            <w:r w:rsidRPr="008D63E4">
              <w:rPr>
                <w:rFonts w:ascii="Arial" w:eastAsia="Arial" w:hAnsi="Arial" w:cs="Arial"/>
                <w:i/>
                <w:iCs/>
                <w:color w:val="666666"/>
                <w:sz w:val="18"/>
              </w:rPr>
              <w:t>Shannow Family Resource Centre is an equal opportunities employer.</w:t>
            </w:r>
          </w:p>
        </w:tc>
      </w:tr>
    </w:tbl>
    <w:p w:rsidR="00842DB6" w:rsidRPr="008D63E4" w:rsidRDefault="00842DB6">
      <w:pPr>
        <w:rPr>
          <w:sz w:val="18"/>
        </w:rPr>
      </w:pPr>
    </w:p>
    <w:sectPr w:rsidR="00842DB6" w:rsidRPr="008D63E4">
      <w:headerReference w:type="default" r:id="rId8"/>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790" w:rsidRDefault="002D7790" w:rsidP="00590EF1">
      <w:r>
        <w:separator/>
      </w:r>
    </w:p>
  </w:endnote>
  <w:endnote w:type="continuationSeparator" w:id="0">
    <w:p w:rsidR="002D7790" w:rsidRDefault="002D7790" w:rsidP="0059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790" w:rsidRDefault="002D7790" w:rsidP="00590EF1">
      <w:r>
        <w:separator/>
      </w:r>
    </w:p>
  </w:footnote>
  <w:footnote w:type="continuationSeparator" w:id="0">
    <w:p w:rsidR="002D7790" w:rsidRDefault="002D7790" w:rsidP="0059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F1" w:rsidRDefault="00590EF1">
    <w:pPr>
      <w:pStyle w:val="Header"/>
    </w:pPr>
    <w:r>
      <w:rPr>
        <w:noProof/>
      </w:rPr>
      <w:drawing>
        <wp:anchor distT="0" distB="0" distL="114300" distR="114300" simplePos="0" relativeHeight="251658240" behindDoc="0" locked="0" layoutInCell="1" allowOverlap="1">
          <wp:simplePos x="0" y="0"/>
          <wp:positionH relativeFrom="column">
            <wp:posOffset>5448300</wp:posOffset>
          </wp:positionH>
          <wp:positionV relativeFrom="paragraph">
            <wp:posOffset>-395605</wp:posOffset>
          </wp:positionV>
          <wp:extent cx="1218166" cy="90424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4-08 1002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166" cy="904240"/>
                  </a:xfrm>
                  <a:prstGeom prst="rect">
                    <a:avLst/>
                  </a:prstGeom>
                </pic:spPr>
              </pic:pic>
            </a:graphicData>
          </a:graphic>
        </wp:anchor>
      </w:drawing>
    </w:r>
  </w:p>
  <w:p w:rsidR="00590EF1" w:rsidRDefault="00590EF1">
    <w:pPr>
      <w:pStyle w:val="Header"/>
    </w:pPr>
  </w:p>
  <w:p w:rsidR="00590EF1" w:rsidRDefault="00590EF1">
    <w:pPr>
      <w:pStyle w:val="Header"/>
    </w:pPr>
  </w:p>
  <w:p w:rsidR="00590EF1" w:rsidRDefault="00590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C61"/>
    <w:multiLevelType w:val="hybridMultilevel"/>
    <w:tmpl w:val="A5FEB390"/>
    <w:lvl w:ilvl="0" w:tplc="483ED060">
      <w:start w:val="1"/>
      <w:numFmt w:val="bullet"/>
      <w:lvlText w:val="•"/>
      <w:lvlJc w:val="left"/>
      <w:pPr>
        <w:ind w:left="600" w:hanging="300"/>
      </w:pPr>
    </w:lvl>
    <w:lvl w:ilvl="1" w:tplc="723A9272">
      <w:numFmt w:val="decimal"/>
      <w:lvlText w:val=""/>
      <w:lvlJc w:val="left"/>
    </w:lvl>
    <w:lvl w:ilvl="2" w:tplc="8292BD2E">
      <w:numFmt w:val="decimal"/>
      <w:lvlText w:val=""/>
      <w:lvlJc w:val="left"/>
    </w:lvl>
    <w:lvl w:ilvl="3" w:tplc="364EAAA4">
      <w:numFmt w:val="decimal"/>
      <w:lvlText w:val=""/>
      <w:lvlJc w:val="left"/>
    </w:lvl>
    <w:lvl w:ilvl="4" w:tplc="E534A3AA">
      <w:numFmt w:val="decimal"/>
      <w:lvlText w:val=""/>
      <w:lvlJc w:val="left"/>
    </w:lvl>
    <w:lvl w:ilvl="5" w:tplc="59F6920C">
      <w:numFmt w:val="decimal"/>
      <w:lvlText w:val=""/>
      <w:lvlJc w:val="left"/>
    </w:lvl>
    <w:lvl w:ilvl="6" w:tplc="4CC82E04">
      <w:numFmt w:val="decimal"/>
      <w:lvlText w:val=""/>
      <w:lvlJc w:val="left"/>
    </w:lvl>
    <w:lvl w:ilvl="7" w:tplc="998AC74E">
      <w:numFmt w:val="decimal"/>
      <w:lvlText w:val=""/>
      <w:lvlJc w:val="left"/>
    </w:lvl>
    <w:lvl w:ilvl="8" w:tplc="A55097FE">
      <w:numFmt w:val="decimal"/>
      <w:lvlText w:val=""/>
      <w:lvlJc w:val="left"/>
    </w:lvl>
  </w:abstractNum>
  <w:abstractNum w:abstractNumId="1" w15:restartNumberingAfterBreak="0">
    <w:nsid w:val="1B7464BF"/>
    <w:multiLevelType w:val="multilevel"/>
    <w:tmpl w:val="8FD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C21E1"/>
    <w:multiLevelType w:val="hybridMultilevel"/>
    <w:tmpl w:val="F2D0A40A"/>
    <w:lvl w:ilvl="0" w:tplc="82F0A9D2">
      <w:start w:val="1"/>
      <w:numFmt w:val="bullet"/>
      <w:lvlText w:val="●"/>
      <w:lvlJc w:val="left"/>
      <w:pPr>
        <w:ind w:left="720" w:hanging="360"/>
      </w:pPr>
    </w:lvl>
    <w:lvl w:ilvl="1" w:tplc="56C89E4A">
      <w:start w:val="1"/>
      <w:numFmt w:val="bullet"/>
      <w:lvlText w:val="○"/>
      <w:lvlJc w:val="left"/>
      <w:pPr>
        <w:ind w:left="1440" w:hanging="360"/>
      </w:pPr>
    </w:lvl>
    <w:lvl w:ilvl="2" w:tplc="17B6F6CA">
      <w:start w:val="1"/>
      <w:numFmt w:val="bullet"/>
      <w:lvlText w:val="■"/>
      <w:lvlJc w:val="left"/>
      <w:pPr>
        <w:ind w:left="2160" w:hanging="360"/>
      </w:pPr>
    </w:lvl>
    <w:lvl w:ilvl="3" w:tplc="57AE1654">
      <w:start w:val="1"/>
      <w:numFmt w:val="bullet"/>
      <w:lvlText w:val="●"/>
      <w:lvlJc w:val="left"/>
      <w:pPr>
        <w:ind w:left="2880" w:hanging="360"/>
      </w:pPr>
    </w:lvl>
    <w:lvl w:ilvl="4" w:tplc="DCB0FF68">
      <w:start w:val="1"/>
      <w:numFmt w:val="bullet"/>
      <w:lvlText w:val="○"/>
      <w:lvlJc w:val="left"/>
      <w:pPr>
        <w:ind w:left="3600" w:hanging="360"/>
      </w:pPr>
    </w:lvl>
    <w:lvl w:ilvl="5" w:tplc="DD628198">
      <w:start w:val="1"/>
      <w:numFmt w:val="bullet"/>
      <w:lvlText w:val="■"/>
      <w:lvlJc w:val="left"/>
      <w:pPr>
        <w:ind w:left="4320" w:hanging="360"/>
      </w:pPr>
    </w:lvl>
    <w:lvl w:ilvl="6" w:tplc="157210C8">
      <w:start w:val="1"/>
      <w:numFmt w:val="bullet"/>
      <w:lvlText w:val="●"/>
      <w:lvlJc w:val="left"/>
      <w:pPr>
        <w:ind w:left="5040" w:hanging="360"/>
      </w:pPr>
    </w:lvl>
    <w:lvl w:ilvl="7" w:tplc="48BE2416">
      <w:start w:val="1"/>
      <w:numFmt w:val="bullet"/>
      <w:lvlText w:val="●"/>
      <w:lvlJc w:val="left"/>
      <w:pPr>
        <w:ind w:left="5760" w:hanging="360"/>
      </w:pPr>
    </w:lvl>
    <w:lvl w:ilvl="8" w:tplc="DF6CB986">
      <w:start w:val="1"/>
      <w:numFmt w:val="bullet"/>
      <w:lvlText w:val="●"/>
      <w:lvlJc w:val="left"/>
      <w:pPr>
        <w:ind w:left="6480" w:hanging="360"/>
      </w:pPr>
    </w:lvl>
  </w:abstractNum>
  <w:abstractNum w:abstractNumId="3" w15:restartNumberingAfterBreak="0">
    <w:nsid w:val="4F233AF3"/>
    <w:multiLevelType w:val="hybridMultilevel"/>
    <w:tmpl w:val="86E0D06E"/>
    <w:lvl w:ilvl="0" w:tplc="A22867E6">
      <w:start w:val="1"/>
      <w:numFmt w:val="bullet"/>
      <w:lvlText w:val="•"/>
      <w:lvlJc w:val="left"/>
      <w:pPr>
        <w:ind w:left="600" w:hanging="300"/>
      </w:pPr>
    </w:lvl>
    <w:lvl w:ilvl="1" w:tplc="7794D8C8">
      <w:numFmt w:val="decimal"/>
      <w:lvlText w:val=""/>
      <w:lvlJc w:val="left"/>
    </w:lvl>
    <w:lvl w:ilvl="2" w:tplc="20E2CC28">
      <w:numFmt w:val="decimal"/>
      <w:lvlText w:val=""/>
      <w:lvlJc w:val="left"/>
    </w:lvl>
    <w:lvl w:ilvl="3" w:tplc="ABEE7EB4">
      <w:numFmt w:val="decimal"/>
      <w:lvlText w:val=""/>
      <w:lvlJc w:val="left"/>
    </w:lvl>
    <w:lvl w:ilvl="4" w:tplc="609E184A">
      <w:numFmt w:val="decimal"/>
      <w:lvlText w:val=""/>
      <w:lvlJc w:val="left"/>
    </w:lvl>
    <w:lvl w:ilvl="5" w:tplc="16D66AFA">
      <w:numFmt w:val="decimal"/>
      <w:lvlText w:val=""/>
      <w:lvlJc w:val="left"/>
    </w:lvl>
    <w:lvl w:ilvl="6" w:tplc="7BE0E7B2">
      <w:numFmt w:val="decimal"/>
      <w:lvlText w:val=""/>
      <w:lvlJc w:val="left"/>
    </w:lvl>
    <w:lvl w:ilvl="7" w:tplc="5E86CF50">
      <w:numFmt w:val="decimal"/>
      <w:lvlText w:val=""/>
      <w:lvlJc w:val="left"/>
    </w:lvl>
    <w:lvl w:ilvl="8" w:tplc="BDF88380">
      <w:numFmt w:val="decimal"/>
      <w:lvlText w:val=""/>
      <w:lvlJc w:val="left"/>
    </w:lvl>
  </w:abstractNum>
  <w:abstractNum w:abstractNumId="4" w15:restartNumberingAfterBreak="0">
    <w:nsid w:val="7D0B749A"/>
    <w:multiLevelType w:val="hybridMultilevel"/>
    <w:tmpl w:val="09DECAE0"/>
    <w:lvl w:ilvl="0" w:tplc="8880256E">
      <w:start w:val="1"/>
      <w:numFmt w:val="bullet"/>
      <w:lvlText w:val="•"/>
      <w:lvlJc w:val="left"/>
      <w:pPr>
        <w:ind w:left="600" w:hanging="300"/>
      </w:pPr>
    </w:lvl>
    <w:lvl w:ilvl="1" w:tplc="463E1558">
      <w:numFmt w:val="decimal"/>
      <w:lvlText w:val=""/>
      <w:lvlJc w:val="left"/>
    </w:lvl>
    <w:lvl w:ilvl="2" w:tplc="2A5A3120">
      <w:numFmt w:val="decimal"/>
      <w:lvlText w:val=""/>
      <w:lvlJc w:val="left"/>
    </w:lvl>
    <w:lvl w:ilvl="3" w:tplc="E4A66F6A">
      <w:numFmt w:val="decimal"/>
      <w:lvlText w:val=""/>
      <w:lvlJc w:val="left"/>
    </w:lvl>
    <w:lvl w:ilvl="4" w:tplc="AD08BA88">
      <w:numFmt w:val="decimal"/>
      <w:lvlText w:val=""/>
      <w:lvlJc w:val="left"/>
    </w:lvl>
    <w:lvl w:ilvl="5" w:tplc="9632747A">
      <w:numFmt w:val="decimal"/>
      <w:lvlText w:val=""/>
      <w:lvlJc w:val="left"/>
    </w:lvl>
    <w:lvl w:ilvl="6" w:tplc="E1D2F1BC">
      <w:numFmt w:val="decimal"/>
      <w:lvlText w:val=""/>
      <w:lvlJc w:val="left"/>
    </w:lvl>
    <w:lvl w:ilvl="7" w:tplc="6D1C3698">
      <w:numFmt w:val="decimal"/>
      <w:lvlText w:val=""/>
      <w:lvlJc w:val="left"/>
    </w:lvl>
    <w:lvl w:ilvl="8" w:tplc="BBC4F4AE">
      <w:numFmt w:val="decimal"/>
      <w:lvlText w:val=""/>
      <w:lvlJc w:val="left"/>
    </w:lvl>
  </w:abstractNum>
  <w:num w:numId="1">
    <w:abstractNumId w:val="2"/>
    <w:lvlOverride w:ilvl="0">
      <w:startOverride w:val="1"/>
    </w:lvlOverride>
  </w:num>
  <w:num w:numId="2">
    <w:abstractNumId w:val="4"/>
    <w:lvlOverride w:ilvl="0">
      <w:startOverride w:val="1"/>
    </w:lvlOverride>
  </w:num>
  <w:num w:numId="3">
    <w:abstractNumId w:val="3"/>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72"/>
    <w:rsid w:val="00087F2A"/>
    <w:rsid w:val="000B401E"/>
    <w:rsid w:val="002D7790"/>
    <w:rsid w:val="00590EF1"/>
    <w:rsid w:val="005929BE"/>
    <w:rsid w:val="00690F95"/>
    <w:rsid w:val="00842DB6"/>
    <w:rsid w:val="008B352C"/>
    <w:rsid w:val="008D63E4"/>
    <w:rsid w:val="00BD4973"/>
    <w:rsid w:val="00D173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1AFEA"/>
  <w15:docId w15:val="{2297D326-C152-4BBF-85EA-479DC322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0B40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01E"/>
    <w:rPr>
      <w:rFonts w:ascii="Segoe UI" w:hAnsi="Segoe UI" w:cs="Segoe UI"/>
      <w:sz w:val="18"/>
      <w:szCs w:val="18"/>
    </w:rPr>
  </w:style>
  <w:style w:type="paragraph" w:styleId="Header">
    <w:name w:val="header"/>
    <w:basedOn w:val="Normal"/>
    <w:link w:val="HeaderChar"/>
    <w:uiPriority w:val="99"/>
    <w:unhideWhenUsed/>
    <w:rsid w:val="00590EF1"/>
    <w:pPr>
      <w:tabs>
        <w:tab w:val="center" w:pos="4513"/>
        <w:tab w:val="right" w:pos="9026"/>
      </w:tabs>
    </w:pPr>
  </w:style>
  <w:style w:type="character" w:customStyle="1" w:styleId="HeaderChar">
    <w:name w:val="Header Char"/>
    <w:basedOn w:val="DefaultParagraphFont"/>
    <w:link w:val="Header"/>
    <w:uiPriority w:val="99"/>
    <w:rsid w:val="00590EF1"/>
  </w:style>
  <w:style w:type="paragraph" w:styleId="Footer">
    <w:name w:val="footer"/>
    <w:basedOn w:val="Normal"/>
    <w:link w:val="FooterChar"/>
    <w:uiPriority w:val="99"/>
    <w:unhideWhenUsed/>
    <w:rsid w:val="00590EF1"/>
    <w:pPr>
      <w:tabs>
        <w:tab w:val="center" w:pos="4513"/>
        <w:tab w:val="right" w:pos="9026"/>
      </w:tabs>
    </w:pPr>
  </w:style>
  <w:style w:type="character" w:customStyle="1" w:styleId="FooterChar">
    <w:name w:val="Footer Char"/>
    <w:basedOn w:val="DefaultParagraphFont"/>
    <w:link w:val="Footer"/>
    <w:uiPriority w:val="99"/>
    <w:rsid w:val="00590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nnowfrcrecruitmen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Shannow FRC</cp:lastModifiedBy>
  <cp:revision>2</cp:revision>
  <cp:lastPrinted>2026-05-27T13:19:00Z</cp:lastPrinted>
  <dcterms:created xsi:type="dcterms:W3CDTF">2026-05-28T11:04:00Z</dcterms:created>
  <dcterms:modified xsi:type="dcterms:W3CDTF">2026-05-28T11:04:00Z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05207be8-9957-4e38-b1a3-2343014b1051</vt:lpwstr>
  </property>
</Properties>
</file>