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u w:val="single"/>
        </w:rPr>
      </w:pPr>
      <w:r w:rsidDel="00000000" w:rsidR="00000000" w:rsidRPr="00000000">
        <w:rPr>
          <w:b w:val="1"/>
          <w:bCs w:val="1"/>
          <w:sz w:val="24"/>
          <w:szCs w:val="24"/>
          <w:u w:val="single"/>
          <w:rtl w:val="0"/>
        </w:rPr>
        <w:t xml:space="preserve">INSTRUCTIONS AND INFORMATION ON TENDERING PROCEDURES</w:t>
      </w:r>
    </w:p>
    <w:p w:rsidR="00000000" w:rsidDel="00000000" w:rsidP="00000000" w:rsidRDefault="00000000" w:rsidRPr="00000000" w14:paraId="00000002">
      <w:pPr>
        <w:jc w:val="center"/>
        <w:rPr>
          <w:b w:val="1"/>
          <w:bCs w:val="1"/>
          <w:sz w:val="24"/>
          <w:szCs w:val="24"/>
          <w:u w:val="single"/>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These instructions are designed to ensure that all tenders are given equal and fair consideration. It is important, therefore, that you provide all the information asked for in the format and order specified. Please contact Stephen McCrudden – </w:t>
      </w:r>
      <w:hyperlink r:id="rId7">
        <w:r w:rsidDel="00000000" w:rsidR="00000000" w:rsidRPr="00000000">
          <w:rPr>
            <w:color w:val="0563c1"/>
            <w:sz w:val="24"/>
            <w:szCs w:val="24"/>
            <w:u w:val="single"/>
            <w:rtl w:val="0"/>
          </w:rPr>
          <w:t xml:space="preserve">Stephen.mccrudden@youngsocialinnocators.ie</w:t>
        </w:r>
      </w:hyperlink>
      <w:r w:rsidDel="00000000" w:rsidR="00000000" w:rsidRPr="00000000">
        <w:rPr>
          <w:sz w:val="24"/>
          <w:szCs w:val="24"/>
          <w:rtl w:val="0"/>
        </w:rPr>
        <w:t xml:space="preserve"> if you have any doubts as to what is required or you have difficulty in providing the information requested. Pre-tender negotiations are not allowed; however, queries can be submitted between </w:t>
      </w:r>
      <w:r w:rsidDel="00000000" w:rsidR="00000000" w:rsidRPr="00000000">
        <w:rPr>
          <w:b w:val="1"/>
          <w:bCs w:val="1"/>
          <w:sz w:val="24"/>
          <w:szCs w:val="24"/>
          <w:rtl w:val="0"/>
        </w:rPr>
        <w:t xml:space="preserve">26th November</w:t>
      </w:r>
      <w:r w:rsidDel="00000000" w:rsidR="00000000" w:rsidRPr="00000000">
        <w:rPr>
          <w:b w:val="1"/>
          <w:bCs w:val="1"/>
          <w:sz w:val="24"/>
          <w:szCs w:val="24"/>
          <w:rtl w:val="0"/>
        </w:rPr>
        <w:t xml:space="preserve"> 2025 and 5th December 2025</w:t>
      </w:r>
      <w:r w:rsidDel="00000000" w:rsidR="00000000" w:rsidRPr="00000000">
        <w:rPr>
          <w:sz w:val="24"/>
          <w:szCs w:val="24"/>
          <w:rtl w:val="0"/>
        </w:rPr>
        <w:t xml:space="preserve">. All queries will be made public to all other bidders.</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Contract Period</w:t>
      </w:r>
    </w:p>
    <w:p w:rsidR="00000000" w:rsidDel="00000000" w:rsidP="00000000" w:rsidRDefault="00000000" w:rsidRPr="00000000" w14:paraId="00000006">
      <w:pPr>
        <w:rPr>
          <w:sz w:val="24"/>
          <w:szCs w:val="24"/>
        </w:rPr>
      </w:pPr>
      <w:r w:rsidDel="00000000" w:rsidR="00000000" w:rsidRPr="00000000">
        <w:rPr>
          <w:sz w:val="24"/>
          <w:szCs w:val="24"/>
          <w:rtl w:val="0"/>
        </w:rPr>
        <w:t xml:space="preserve">The contract is to be from 18th December 2025 to 31</w:t>
      </w:r>
      <w:r w:rsidDel="00000000" w:rsidR="00000000" w:rsidRPr="00000000">
        <w:rPr>
          <w:sz w:val="24"/>
          <w:szCs w:val="24"/>
          <w:vertAlign w:val="superscript"/>
          <w:rtl w:val="0"/>
        </w:rPr>
        <w:t xml:space="preserve">st</w:t>
      </w:r>
      <w:r w:rsidDel="00000000" w:rsidR="00000000" w:rsidRPr="00000000">
        <w:rPr>
          <w:sz w:val="24"/>
          <w:szCs w:val="24"/>
          <w:rtl w:val="0"/>
        </w:rPr>
        <w:t xml:space="preserve"> December 2026.</w:t>
      </w:r>
    </w:p>
    <w:p w:rsidR="00000000" w:rsidDel="00000000" w:rsidP="00000000" w:rsidRDefault="00000000" w:rsidRPr="00000000" w14:paraId="00000007">
      <w:pPr>
        <w:rPr>
          <w:rFonts w:ascii="Montserrat ExtraBold" w:cs="Montserrat ExtraBold" w:eastAsia="Montserrat ExtraBold" w:hAnsi="Montserrat ExtraBold"/>
          <w:sz w:val="24"/>
          <w:szCs w:val="24"/>
        </w:rPr>
      </w:pPr>
      <w:r w:rsidDel="00000000" w:rsidR="00000000" w:rsidRPr="00000000">
        <w:rPr>
          <w:rtl w:val="0"/>
        </w:rPr>
      </w:r>
    </w:p>
    <w:p w:rsidR="00000000" w:rsidDel="00000000" w:rsidP="00000000" w:rsidRDefault="00000000" w:rsidRPr="00000000" w14:paraId="00000008">
      <w:pPr>
        <w:rPr>
          <w:b w:val="1"/>
          <w:bCs w:val="1"/>
          <w:sz w:val="24"/>
          <w:szCs w:val="24"/>
        </w:rPr>
      </w:pPr>
      <w:r w:rsidDel="00000000" w:rsidR="00000000" w:rsidRPr="00000000">
        <w:rPr>
          <w:b w:val="1"/>
          <w:bCs w:val="1"/>
          <w:sz w:val="24"/>
          <w:szCs w:val="24"/>
          <w:rtl w:val="0"/>
        </w:rPr>
        <w:t xml:space="preserve">Incomplete Tender</w:t>
      </w:r>
    </w:p>
    <w:p w:rsidR="00000000" w:rsidDel="00000000" w:rsidP="00000000" w:rsidRDefault="00000000" w:rsidRPr="00000000" w14:paraId="00000009">
      <w:pPr>
        <w:rPr>
          <w:sz w:val="24"/>
          <w:szCs w:val="24"/>
        </w:rPr>
      </w:pPr>
      <w:r w:rsidDel="00000000" w:rsidR="00000000" w:rsidRPr="00000000">
        <w:rPr>
          <w:sz w:val="24"/>
          <w:szCs w:val="24"/>
          <w:rtl w:val="0"/>
        </w:rPr>
        <w:t xml:space="preserve">Tenders may be rejected if the information asked for in the ITT and Specification is not given at the time of tendering.</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Returning Tenders</w:t>
      </w:r>
    </w:p>
    <w:p w:rsidR="00000000" w:rsidDel="00000000" w:rsidP="00000000" w:rsidRDefault="00000000" w:rsidRPr="00000000" w14:paraId="0000000C">
      <w:pPr>
        <w:rPr>
          <w:sz w:val="24"/>
          <w:szCs w:val="24"/>
        </w:rPr>
      </w:pPr>
      <w:r w:rsidDel="00000000" w:rsidR="00000000" w:rsidRPr="00000000">
        <w:rPr>
          <w:sz w:val="24"/>
          <w:szCs w:val="24"/>
          <w:rtl w:val="0"/>
        </w:rPr>
        <w:t xml:space="preserve">Tenders should be returned by email to </w:t>
      </w:r>
      <w:hyperlink r:id="rId8">
        <w:r w:rsidDel="00000000" w:rsidR="00000000" w:rsidRPr="00000000">
          <w:rPr>
            <w:color w:val="0563c1"/>
            <w:sz w:val="24"/>
            <w:szCs w:val="24"/>
            <w:u w:val="single"/>
            <w:rtl w:val="0"/>
          </w:rPr>
          <w:t xml:space="preserve">stephen.mccrudden@youngsocialinnovators.ie</w:t>
        </w:r>
      </w:hyperlink>
      <w:r w:rsidDel="00000000" w:rsidR="00000000" w:rsidRPr="00000000">
        <w:rPr>
          <w:sz w:val="24"/>
          <w:szCs w:val="24"/>
          <w:rtl w:val="0"/>
        </w:rPr>
        <w:t xml:space="preserve">. A confirmation of receipt will be emailed back to you.</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Receipt of Tenders</w:t>
      </w:r>
    </w:p>
    <w:p w:rsidR="00000000" w:rsidDel="00000000" w:rsidP="00000000" w:rsidRDefault="00000000" w:rsidRPr="00000000" w14:paraId="0000000F">
      <w:pPr>
        <w:rPr>
          <w:sz w:val="24"/>
          <w:szCs w:val="24"/>
        </w:rPr>
      </w:pPr>
      <w:r w:rsidDel="00000000" w:rsidR="00000000" w:rsidRPr="00000000">
        <w:rPr>
          <w:sz w:val="24"/>
          <w:szCs w:val="24"/>
          <w:rtl w:val="0"/>
        </w:rPr>
        <w:t xml:space="preserve">Tenders will be received up to the time and date stated. It is the responsibility of the tenderer to ensure that their tender is delivered not later than the appointed time.</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b w:val="1"/>
          <w:bCs w:val="1"/>
          <w:sz w:val="24"/>
          <w:szCs w:val="24"/>
        </w:rPr>
      </w:pPr>
      <w:r w:rsidDel="00000000" w:rsidR="00000000" w:rsidRPr="00000000">
        <w:rPr>
          <w:b w:val="1"/>
          <w:bCs w:val="1"/>
          <w:sz w:val="24"/>
          <w:szCs w:val="24"/>
          <w:rtl w:val="0"/>
        </w:rPr>
        <w:t xml:space="preserve">Confidentiality</w:t>
      </w:r>
    </w:p>
    <w:p w:rsidR="00000000" w:rsidDel="00000000" w:rsidP="00000000" w:rsidRDefault="00000000" w:rsidRPr="00000000" w14:paraId="00000012">
      <w:pPr>
        <w:rPr>
          <w:sz w:val="24"/>
          <w:szCs w:val="24"/>
        </w:rPr>
      </w:pPr>
      <w:r w:rsidDel="00000000" w:rsidR="00000000" w:rsidRPr="00000000">
        <w:rPr>
          <w:sz w:val="24"/>
          <w:szCs w:val="24"/>
          <w:rtl w:val="0"/>
        </w:rPr>
        <w:t xml:space="preserve">You must not tell anyone else what your tender price is or will be or try to obtain any information about anyone else’s tender.</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Costs and Expenses</w:t>
      </w:r>
    </w:p>
    <w:p w:rsidR="00000000" w:rsidDel="00000000" w:rsidP="00000000" w:rsidRDefault="00000000" w:rsidRPr="00000000" w14:paraId="00000018">
      <w:pPr>
        <w:rPr>
          <w:sz w:val="24"/>
          <w:szCs w:val="24"/>
        </w:rPr>
      </w:pPr>
      <w:r w:rsidDel="00000000" w:rsidR="00000000" w:rsidRPr="00000000">
        <w:rPr>
          <w:sz w:val="24"/>
          <w:szCs w:val="24"/>
          <w:rtl w:val="0"/>
        </w:rPr>
        <w:t xml:space="preserve">You will not be entitled to claim from the organisation any costs or expenses which you may incur in preparing your tender, whether or not your bid is successful.</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b w:val="1"/>
          <w:bCs w:val="1"/>
          <w:sz w:val="24"/>
          <w:szCs w:val="24"/>
        </w:rPr>
      </w:pPr>
      <w:r w:rsidDel="00000000" w:rsidR="00000000" w:rsidRPr="00000000">
        <w:rPr>
          <w:b w:val="1"/>
          <w:bCs w:val="1"/>
          <w:sz w:val="24"/>
          <w:szCs w:val="24"/>
          <w:rtl w:val="0"/>
        </w:rPr>
        <w:t xml:space="preserve">Basis of the Contract</w:t>
      </w:r>
    </w:p>
    <w:p w:rsidR="00000000" w:rsidDel="00000000" w:rsidP="00000000" w:rsidRDefault="00000000" w:rsidRPr="00000000" w14:paraId="0000001B">
      <w:pPr>
        <w:rPr>
          <w:sz w:val="24"/>
          <w:szCs w:val="24"/>
        </w:rPr>
      </w:pPr>
      <w:r w:rsidDel="00000000" w:rsidR="00000000" w:rsidRPr="00000000">
        <w:rPr>
          <w:sz w:val="24"/>
          <w:szCs w:val="24"/>
          <w:rtl w:val="0"/>
        </w:rPr>
        <w:t xml:space="preserve">The Terms of Reference enclosed will form the basis of the contract between the successful tenderer and the project. Tenders must fully comply with the requirements detailed in this ITT, as described in the TOR document.</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bCs w:val="1"/>
          <w:sz w:val="24"/>
          <w:szCs w:val="24"/>
        </w:rPr>
      </w:pPr>
      <w:r w:rsidDel="00000000" w:rsidR="00000000" w:rsidRPr="00000000">
        <w:rPr>
          <w:b w:val="1"/>
          <w:bCs w:val="1"/>
          <w:sz w:val="24"/>
          <w:szCs w:val="24"/>
          <w:rtl w:val="0"/>
        </w:rPr>
        <w:t xml:space="preserve">Timeframe for Tendering</w:t>
      </w:r>
    </w:p>
    <w:p w:rsidR="00000000" w:rsidDel="00000000" w:rsidP="00000000" w:rsidRDefault="00000000" w:rsidRPr="00000000" w14:paraId="0000001E">
      <w:pPr>
        <w:rPr>
          <w:sz w:val="24"/>
          <w:szCs w:val="24"/>
        </w:rPr>
      </w:pPr>
      <w:r w:rsidDel="00000000" w:rsidR="00000000" w:rsidRPr="00000000">
        <w:rPr>
          <w:sz w:val="24"/>
          <w:szCs w:val="24"/>
          <w:rtl w:val="0"/>
        </w:rPr>
        <w:t xml:space="preserve">Queries:</w:t>
        <w:tab/>
        <w:tab/>
        <w:tab/>
        <w:tab/>
        <w:tab/>
        <w:t xml:space="preserve">No later than 5th December 2025</w:t>
      </w:r>
    </w:p>
    <w:p w:rsidR="00000000" w:rsidDel="00000000" w:rsidP="00000000" w:rsidRDefault="00000000" w:rsidRPr="00000000" w14:paraId="0000001F">
      <w:pPr>
        <w:rPr>
          <w:sz w:val="24"/>
          <w:szCs w:val="24"/>
        </w:rPr>
      </w:pPr>
      <w:r w:rsidDel="00000000" w:rsidR="00000000" w:rsidRPr="00000000">
        <w:rPr>
          <w:sz w:val="24"/>
          <w:szCs w:val="24"/>
          <w:rtl w:val="0"/>
        </w:rPr>
        <w:t xml:space="preserve">Submission deadline for receipt of bids:</w:t>
        <w:tab/>
        <w:t xml:space="preserve">Thursday 11th December at 12 noon</w:t>
      </w:r>
    </w:p>
    <w:p w:rsidR="00000000" w:rsidDel="00000000" w:rsidP="00000000" w:rsidRDefault="00000000" w:rsidRPr="00000000" w14:paraId="00000020">
      <w:pPr>
        <w:rPr>
          <w:sz w:val="24"/>
          <w:szCs w:val="24"/>
          <w:shd w:fill="ff9900" w:val="clear"/>
        </w:rPr>
      </w:pPr>
      <w:r w:rsidDel="00000000" w:rsidR="00000000" w:rsidRPr="00000000">
        <w:rPr>
          <w:sz w:val="24"/>
          <w:szCs w:val="24"/>
          <w:rtl w:val="0"/>
        </w:rPr>
        <w:t xml:space="preserve">Shortlist interviews:</w:t>
        <w:tab/>
        <w:tab/>
        <w:tab/>
        <w:tab/>
        <w:t xml:space="preserve">17th December 2025</w:t>
      </w:r>
      <w:r w:rsidDel="00000000" w:rsidR="00000000" w:rsidRPr="00000000">
        <w:rPr>
          <w:rtl w:val="0"/>
        </w:rPr>
      </w:r>
    </w:p>
    <w:p w:rsidR="00000000" w:rsidDel="00000000" w:rsidP="00000000" w:rsidRDefault="00000000" w:rsidRPr="00000000" w14:paraId="00000021">
      <w:pPr>
        <w:rPr>
          <w:sz w:val="24"/>
          <w:szCs w:val="24"/>
          <w:shd w:fill="ff9900" w:val="clear"/>
        </w:rPr>
      </w:pPr>
      <w:r w:rsidDel="00000000" w:rsidR="00000000" w:rsidRPr="00000000">
        <w:rPr>
          <w:sz w:val="24"/>
          <w:szCs w:val="24"/>
          <w:rtl w:val="0"/>
        </w:rPr>
        <w:t xml:space="preserve">Inform bidders of award:</w:t>
        <w:tab/>
        <w:tab/>
        <w:tab/>
        <w:t xml:space="preserve">18th December 2025</w:t>
      </w:r>
      <w:r w:rsidDel="00000000" w:rsidR="00000000" w:rsidRPr="00000000">
        <w:rPr>
          <w:rtl w:val="0"/>
        </w:rPr>
      </w:r>
    </w:p>
    <w:p w:rsidR="00000000" w:rsidDel="00000000" w:rsidP="00000000" w:rsidRDefault="00000000" w:rsidRPr="00000000" w14:paraId="00000022">
      <w:pPr>
        <w:rPr>
          <w:sz w:val="24"/>
          <w:szCs w:val="24"/>
          <w:shd w:fill="ff9900" w:val="clear"/>
        </w:rPr>
      </w:pPr>
      <w:r w:rsidDel="00000000" w:rsidR="00000000" w:rsidRPr="00000000">
        <w:rPr>
          <w:sz w:val="24"/>
          <w:szCs w:val="24"/>
          <w:rtl w:val="0"/>
        </w:rPr>
        <w:t xml:space="preserve">Award contract:</w:t>
        <w:tab/>
        <w:tab/>
        <w:tab/>
        <w:tab/>
        <w:t xml:space="preserve">18th December 2025</w:t>
      </w: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b w:val="1"/>
          <w:bCs w:val="1"/>
          <w:sz w:val="24"/>
          <w:szCs w:val="24"/>
        </w:rPr>
      </w:pPr>
      <w:r w:rsidDel="00000000" w:rsidR="00000000" w:rsidRPr="00000000">
        <w:rPr>
          <w:b w:val="1"/>
          <w:bCs w:val="1"/>
          <w:sz w:val="24"/>
          <w:szCs w:val="24"/>
          <w:rtl w:val="0"/>
        </w:rPr>
        <w:t xml:space="preserve">Format of Bids</w:t>
      </w:r>
    </w:p>
    <w:p w:rsidR="00000000" w:rsidDel="00000000" w:rsidP="00000000" w:rsidRDefault="00000000" w:rsidRPr="00000000" w14:paraId="00000025">
      <w:pPr>
        <w:rPr>
          <w:sz w:val="24"/>
          <w:szCs w:val="24"/>
        </w:rPr>
      </w:pPr>
      <w:r w:rsidDel="00000000" w:rsidR="00000000" w:rsidRPr="00000000">
        <w:rPr>
          <w:sz w:val="24"/>
          <w:szCs w:val="24"/>
          <w:rtl w:val="0"/>
        </w:rPr>
        <w:t xml:space="preserve">Tenderers should present their proposals in the following format:</w:t>
      </w:r>
    </w:p>
    <w:p w:rsidR="00000000" w:rsidDel="00000000" w:rsidP="00000000" w:rsidRDefault="00000000" w:rsidRPr="00000000" w14:paraId="00000026">
      <w:pPr>
        <w:rPr>
          <w:b w:val="1"/>
          <w:bCs w:val="1"/>
          <w:sz w:val="24"/>
          <w:szCs w:val="24"/>
        </w:rPr>
      </w:pPr>
      <w:r w:rsidDel="00000000" w:rsidR="00000000" w:rsidRPr="00000000">
        <w:rPr>
          <w:b w:val="1"/>
          <w:bCs w:val="1"/>
          <w:sz w:val="24"/>
          <w:szCs w:val="24"/>
          <w:rtl w:val="0"/>
        </w:rPr>
        <w:tab/>
        <w:t xml:space="preserve">Section 1</w:t>
        <w:tab/>
        <w:t xml:space="preserve">Table of Contents</w:t>
      </w:r>
    </w:p>
    <w:p w:rsidR="00000000" w:rsidDel="00000000" w:rsidP="00000000" w:rsidRDefault="00000000" w:rsidRPr="00000000" w14:paraId="00000027">
      <w:pPr>
        <w:rPr>
          <w:b w:val="1"/>
          <w:bCs w:val="1"/>
          <w:sz w:val="24"/>
          <w:szCs w:val="24"/>
        </w:rPr>
      </w:pPr>
      <w:r w:rsidDel="00000000" w:rsidR="00000000" w:rsidRPr="00000000">
        <w:rPr>
          <w:b w:val="1"/>
          <w:bCs w:val="1"/>
          <w:sz w:val="24"/>
          <w:szCs w:val="24"/>
          <w:rtl w:val="0"/>
        </w:rPr>
        <w:tab/>
        <w:t xml:space="preserve">Section 2 </w:t>
        <w:tab/>
        <w:t xml:space="preserve">Meeting the Specification</w:t>
      </w:r>
    </w:p>
    <w:p w:rsidR="00000000" w:rsidDel="00000000" w:rsidP="00000000" w:rsidRDefault="00000000" w:rsidRPr="00000000" w14:paraId="00000028">
      <w:pPr>
        <w:rPr>
          <w:b w:val="1"/>
          <w:bCs w:val="1"/>
          <w:sz w:val="24"/>
          <w:szCs w:val="24"/>
        </w:rPr>
      </w:pPr>
      <w:r w:rsidDel="00000000" w:rsidR="00000000" w:rsidRPr="00000000">
        <w:rPr>
          <w:b w:val="1"/>
          <w:bCs w:val="1"/>
          <w:sz w:val="24"/>
          <w:szCs w:val="24"/>
          <w:rtl w:val="0"/>
        </w:rPr>
        <w:tab/>
        <w:t xml:space="preserve">Section 3</w:t>
        <w:tab/>
        <w:t xml:space="preserve">Cost and Charging arrangements</w:t>
      </w:r>
    </w:p>
    <w:p w:rsidR="00000000" w:rsidDel="00000000" w:rsidP="00000000" w:rsidRDefault="00000000" w:rsidRPr="00000000" w14:paraId="00000029">
      <w:pPr>
        <w:rPr>
          <w:b w:val="1"/>
          <w:bCs w:val="1"/>
          <w:sz w:val="24"/>
          <w:szCs w:val="24"/>
        </w:rPr>
      </w:pPr>
      <w:r w:rsidDel="00000000" w:rsidR="00000000" w:rsidRPr="00000000">
        <w:rPr>
          <w:b w:val="1"/>
          <w:bCs w:val="1"/>
          <w:sz w:val="24"/>
          <w:szCs w:val="24"/>
          <w:rtl w:val="0"/>
        </w:rPr>
        <w:tab/>
        <w:t xml:space="preserve">Section 4</w:t>
        <w:tab/>
        <w:t xml:space="preserve">Declarations and Attachments (References/CVs)</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b w:val="1"/>
          <w:bCs w:val="1"/>
          <w:sz w:val="24"/>
          <w:szCs w:val="24"/>
        </w:rPr>
      </w:pPr>
      <w:r w:rsidDel="00000000" w:rsidR="00000000" w:rsidRPr="00000000">
        <w:rPr>
          <w:b w:val="1"/>
          <w:bCs w:val="1"/>
          <w:sz w:val="24"/>
          <w:szCs w:val="24"/>
          <w:rtl w:val="0"/>
        </w:rPr>
        <w:t xml:space="preserve">Selection and Award Criteria</w:t>
      </w:r>
    </w:p>
    <w:p w:rsidR="00000000" w:rsidDel="00000000" w:rsidP="00000000" w:rsidRDefault="00000000" w:rsidRPr="00000000" w14:paraId="0000002C">
      <w:pPr>
        <w:rPr>
          <w:b w:val="1"/>
          <w:bCs w:val="1"/>
          <w:i w:val="1"/>
          <w:iCs w:val="1"/>
          <w:sz w:val="24"/>
          <w:szCs w:val="24"/>
        </w:rPr>
      </w:pPr>
      <w:r w:rsidDel="00000000" w:rsidR="00000000" w:rsidRPr="00000000">
        <w:rPr>
          <w:b w:val="1"/>
          <w:bCs w:val="1"/>
          <w:i w:val="1"/>
          <w:iCs w:val="1"/>
          <w:sz w:val="24"/>
          <w:szCs w:val="24"/>
          <w:rtl w:val="0"/>
        </w:rPr>
        <w:t xml:space="preserve">Completion – Yes/No</w:t>
      </w:r>
    </w:p>
    <w:p w:rsidR="00000000" w:rsidDel="00000000" w:rsidP="00000000" w:rsidRDefault="00000000" w:rsidRPr="00000000" w14:paraId="0000002D">
      <w:pPr>
        <w:rPr>
          <w:sz w:val="24"/>
          <w:szCs w:val="24"/>
        </w:rPr>
      </w:pPr>
      <w:r w:rsidDel="00000000" w:rsidR="00000000" w:rsidRPr="00000000">
        <w:rPr>
          <w:sz w:val="24"/>
          <w:szCs w:val="24"/>
          <w:rtl w:val="0"/>
        </w:rPr>
        <w:t xml:space="preserve">Tenders must confirm that you can complete the work in the timeframe given.</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b w:val="1"/>
          <w:bCs w:val="1"/>
          <w:i w:val="1"/>
          <w:iCs w:val="1"/>
          <w:sz w:val="24"/>
          <w:szCs w:val="24"/>
          <w:rtl w:val="0"/>
        </w:rPr>
        <w:t xml:space="preserve">Award Criteria – see Terms of Reference for scoring.</w:t>
      </w: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Tenders must provide detailed costs and state whether the costs include VAT.</w:t>
      </w:r>
    </w:p>
    <w:p w:rsidR="00000000" w:rsidDel="00000000" w:rsidP="00000000" w:rsidRDefault="00000000" w:rsidRPr="00000000" w14:paraId="00000031">
      <w:pPr>
        <w:rPr>
          <w:b w:val="1"/>
          <w:bCs w:val="1"/>
          <w:sz w:val="24"/>
          <w:szCs w:val="24"/>
        </w:rPr>
      </w:pPr>
      <w:r w:rsidDel="00000000" w:rsidR="00000000" w:rsidRPr="00000000">
        <w:rPr>
          <w:rtl w:val="0"/>
        </w:rPr>
      </w:r>
    </w:p>
    <w:p w:rsidR="00000000" w:rsidDel="00000000" w:rsidP="00000000" w:rsidRDefault="00000000" w:rsidRPr="00000000" w14:paraId="00000032">
      <w:pPr>
        <w:rPr>
          <w:b w:val="1"/>
          <w:bCs w:val="1"/>
          <w:sz w:val="24"/>
          <w:szCs w:val="24"/>
        </w:rPr>
      </w:pPr>
      <w:r w:rsidDel="00000000" w:rsidR="00000000" w:rsidRPr="00000000">
        <w:rPr>
          <w:b w:val="1"/>
          <w:bCs w:val="1"/>
          <w:sz w:val="24"/>
          <w:szCs w:val="24"/>
          <w:rtl w:val="0"/>
        </w:rPr>
        <w:t xml:space="preserve">Conclusions</w:t>
      </w:r>
    </w:p>
    <w:p w:rsidR="00000000" w:rsidDel="00000000" w:rsidP="00000000" w:rsidRDefault="00000000" w:rsidRPr="00000000" w14:paraId="00000033">
      <w:pPr>
        <w:rPr>
          <w:sz w:val="24"/>
          <w:szCs w:val="24"/>
        </w:rPr>
      </w:pPr>
      <w:r w:rsidDel="00000000" w:rsidR="00000000" w:rsidRPr="00000000">
        <w:rPr>
          <w:sz w:val="24"/>
          <w:szCs w:val="24"/>
          <w:rtl w:val="0"/>
        </w:rPr>
        <w:t xml:space="preserve">While we have made every effort to give an accurate description of the project’s requirements, tenderers should make their own assessment about the methods and resources needed to meet those requirements.</w:t>
      </w:r>
    </w:p>
    <w:sectPr>
      <w:headerReference r:id="rId9" w:type="first"/>
      <w:footerReference r:id="rId10" w:type="first"/>
      <w:pgSz w:h="16850" w:w="11910" w:orient="portrait"/>
      <w:pgMar w:bottom="278" w:top="232" w:left="990" w:right="964" w:header="431"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ExtraBold">
    <w:embedBold w:fontKey="{00000000-0000-0000-0000-000000000000}" r:id="rId1" w:subsetted="0"/>
    <w:embedBoldItalic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ind w:left="-90" w:right="-150" w:firstLine="0"/>
      <w:rPr/>
    </w:pPr>
    <w:r w:rsidDel="00000000" w:rsidR="00000000" w:rsidRPr="00000000">
      <w:rPr/>
      <w:drawing>
        <wp:anchor allowOverlap="1" behindDoc="0" distB="114300" distT="114300" distL="114300" distR="114300" hidden="0" layoutInCell="1" locked="0" relativeHeight="0" simplePos="0">
          <wp:simplePos x="0" y="0"/>
          <wp:positionH relativeFrom="page">
            <wp:posOffset>4079240</wp:posOffset>
          </wp:positionH>
          <wp:positionV relativeFrom="page">
            <wp:posOffset>424463</wp:posOffset>
          </wp:positionV>
          <wp:extent cx="2626678" cy="1197699"/>
          <wp:effectExtent b="0" l="0" r="0" t="0"/>
          <wp:wrapNone/>
          <wp:docPr id="10"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26678" cy="1197699"/>
                  </a:xfrm>
                  <a:prstGeom prst="rect"/>
                  <a:ln/>
                </pic:spPr>
              </pic:pic>
            </a:graphicData>
          </a:graphic>
        </wp:anchor>
      </w:drawing>
    </w:r>
    <w:r w:rsidDel="00000000" w:rsidR="00000000" w:rsidRPr="00000000">
      <w:rPr/>
      <w:drawing>
        <wp:inline distB="114300" distT="114300" distL="114300" distR="114300">
          <wp:extent cx="1595438" cy="1475780"/>
          <wp:effectExtent b="0" l="0" r="0" t="0"/>
          <wp:docPr id="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95438" cy="147578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D2C1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D2C1E"/>
  </w:style>
  <w:style w:type="paragraph" w:styleId="Footer">
    <w:name w:val="footer"/>
    <w:basedOn w:val="Normal"/>
    <w:link w:val="FooterChar"/>
    <w:uiPriority w:val="99"/>
    <w:unhideWhenUsed w:val="1"/>
    <w:rsid w:val="008D2C1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D2C1E"/>
  </w:style>
  <w:style w:type="paragraph" w:styleId="BodyText">
    <w:name w:val="Body Text"/>
    <w:basedOn w:val="Normal"/>
    <w:link w:val="BodyTextChar"/>
    <w:uiPriority w:val="1"/>
    <w:qFormat w:val="1"/>
    <w:rsid w:val="004A7AD3"/>
    <w:pPr>
      <w:widowControl w:val="0"/>
      <w:autoSpaceDE w:val="0"/>
      <w:autoSpaceDN w:val="0"/>
      <w:spacing w:after="0" w:line="240" w:lineRule="auto"/>
    </w:pPr>
    <w:rPr>
      <w:rFonts w:ascii="Montserrat ExtraBold" w:cs="Montserrat ExtraBold" w:eastAsia="Montserrat ExtraBold" w:hAnsi="Montserrat ExtraBold"/>
      <w:b w:val="1"/>
      <w:bCs w:val="1"/>
      <w:sz w:val="34"/>
      <w:szCs w:val="34"/>
      <w:lang w:val="it-IT"/>
    </w:rPr>
  </w:style>
  <w:style w:type="character" w:styleId="BodyTextChar" w:customStyle="1">
    <w:name w:val="Body Text Char"/>
    <w:basedOn w:val="DefaultParagraphFont"/>
    <w:link w:val="BodyText"/>
    <w:uiPriority w:val="1"/>
    <w:rsid w:val="004A7AD3"/>
    <w:rPr>
      <w:rFonts w:ascii="Montserrat ExtraBold" w:cs="Montserrat ExtraBold" w:eastAsia="Montserrat ExtraBold" w:hAnsi="Montserrat ExtraBold"/>
      <w:b w:val="1"/>
      <w:bCs w:val="1"/>
      <w:kern w:val="0"/>
      <w:sz w:val="34"/>
      <w:szCs w:val="34"/>
      <w:lang w:val="it-IT"/>
    </w:rPr>
  </w:style>
  <w:style w:type="character" w:styleId="Hyperlink">
    <w:name w:val="Hyperlink"/>
    <w:basedOn w:val="DefaultParagraphFont"/>
    <w:uiPriority w:val="99"/>
    <w:unhideWhenUsed w:val="1"/>
    <w:rsid w:val="004A7AD3"/>
    <w:rPr>
      <w:color w:val="0563c1" w:themeColor="hyperlink"/>
      <w:u w:val="single"/>
    </w:rPr>
  </w:style>
  <w:style w:type="paragraph" w:styleId="ListParagraph">
    <w:name w:val="List Paragraph"/>
    <w:basedOn w:val="Normal"/>
    <w:uiPriority w:val="34"/>
    <w:qFormat w:val="1"/>
    <w:rsid w:val="004A7AD3"/>
    <w:pPr>
      <w:widowControl w:val="0"/>
      <w:autoSpaceDE w:val="0"/>
      <w:autoSpaceDN w:val="0"/>
      <w:spacing w:after="0" w:line="240" w:lineRule="auto"/>
    </w:pPr>
    <w:rPr>
      <w:rFonts w:ascii="Montserrat ExtraBold" w:cs="Montserrat ExtraBold" w:eastAsia="Montserrat ExtraBold" w:hAnsi="Montserrat ExtraBold"/>
      <w:lang w:val="it-IT"/>
    </w:rPr>
  </w:style>
  <w:style w:type="table" w:styleId="TableGrid">
    <w:name w:val="Table Grid"/>
    <w:basedOn w:val="TableNormal"/>
    <w:uiPriority w:val="39"/>
    <w:rsid w:val="009052A4"/>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UnresolvedMention">
    <w:name w:val="Unresolved Mention"/>
    <w:basedOn w:val="DefaultParagraphFont"/>
    <w:uiPriority w:val="99"/>
    <w:semiHidden w:val="1"/>
    <w:unhideWhenUsed w:val="1"/>
    <w:rsid w:val="000A609B"/>
    <w:rPr>
      <w:color w:val="605e5c"/>
      <w:shd w:color="auto" w:fill="e1dfdd" w:val="clear"/>
    </w:rPr>
  </w:style>
  <w:style w:type="paragraph" w:styleId="CommentSubject">
    <w:name w:val="annotation subject"/>
    <w:basedOn w:val="CommentText"/>
    <w:next w:val="CommentText"/>
    <w:link w:val="CommentSubjectChar"/>
    <w:uiPriority w:val="99"/>
    <w:semiHidden w:val="1"/>
    <w:unhideWhenUsed w:val="1"/>
    <w:rsid w:val="0000028C"/>
    <w:rPr>
      <w:b w:val="1"/>
      <w:bCs w:val="1"/>
    </w:rPr>
  </w:style>
  <w:style w:type="character" w:styleId="CommentSubjectChar" w:customStyle="1">
    <w:name w:val="Comment Subject Char"/>
    <w:basedOn w:val="CommentTextChar"/>
    <w:link w:val="CommentSubject"/>
    <w:uiPriority w:val="99"/>
    <w:semiHidden w:val="1"/>
    <w:rsid w:val="0000028C"/>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tephen.mccrudden@youngsocialinnocators.ie" TargetMode="External"/><Relationship Id="rId8" Type="http://schemas.openxmlformats.org/officeDocument/2006/relationships/hyperlink" Target="mailto:stephen.mccrudden@youngsocialinnovators.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ExtraBold-bold.ttf"/><Relationship Id="rId2" Type="http://schemas.openxmlformats.org/officeDocument/2006/relationships/font" Target="fonts/MontserratExtra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D8NbM4dEeTIgOm+OJHBhlfchg==">CgMxLjA4AHIhMU4xRnRRQ01iaTFpYUhwdG9TVHNRZHlOa2FSd3I1TE5q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2025-02-05T09:27:00Z</dcterms:created>
  <dc:creator>Lorraine Doyle</dc:creator>
</cp:coreProperties>
</file>