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FCD2" w14:textId="77777777" w:rsidR="0055330C" w:rsidRDefault="0055330C">
      <w:pPr>
        <w:spacing w:before="6" w:after="1"/>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2966"/>
        <w:gridCol w:w="3692"/>
        <w:gridCol w:w="3899"/>
      </w:tblGrid>
      <w:tr w:rsidR="0055330C" w14:paraId="194C43BD" w14:textId="77777777">
        <w:trPr>
          <w:trHeight w:val="597"/>
        </w:trPr>
        <w:tc>
          <w:tcPr>
            <w:tcW w:w="3427" w:type="dxa"/>
            <w:tcBorders>
              <w:top w:val="nil"/>
              <w:bottom w:val="single" w:sz="12" w:space="0" w:color="000000"/>
              <w:right w:val="nil"/>
            </w:tcBorders>
          </w:tcPr>
          <w:p w14:paraId="45D4F834" w14:textId="77777777" w:rsidR="0055330C" w:rsidRDefault="00000000">
            <w:pPr>
              <w:pStyle w:val="TableParagraph"/>
              <w:ind w:left="-1" w:right="-44"/>
              <w:rPr>
                <w:rFonts w:ascii="Times New Roman"/>
                <w:sz w:val="20"/>
              </w:rPr>
            </w:pPr>
            <w:r>
              <w:rPr>
                <w:rFonts w:ascii="Times New Roman"/>
                <w:noProof/>
                <w:sz w:val="20"/>
              </w:rPr>
              <w:drawing>
                <wp:inline distT="0" distB="0" distL="0" distR="0" wp14:anchorId="2EF14F94" wp14:editId="7A86B907">
                  <wp:extent cx="2172509" cy="2042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172509" cy="204215"/>
                          </a:xfrm>
                          <a:prstGeom prst="rect">
                            <a:avLst/>
                          </a:prstGeom>
                        </pic:spPr>
                      </pic:pic>
                    </a:graphicData>
                  </a:graphic>
                </wp:inline>
              </w:drawing>
            </w:r>
          </w:p>
        </w:tc>
        <w:tc>
          <w:tcPr>
            <w:tcW w:w="10557" w:type="dxa"/>
            <w:gridSpan w:val="3"/>
            <w:tcBorders>
              <w:top w:val="single" w:sz="6" w:space="0" w:color="000000"/>
              <w:left w:val="nil"/>
              <w:bottom w:val="single" w:sz="12" w:space="0" w:color="000000"/>
            </w:tcBorders>
          </w:tcPr>
          <w:p w14:paraId="1642BCA8" w14:textId="77777777" w:rsidR="0055330C" w:rsidRDefault="0055330C">
            <w:pPr>
              <w:pStyle w:val="TableParagraph"/>
              <w:ind w:left="0"/>
              <w:rPr>
                <w:rFonts w:ascii="Times New Roman"/>
                <w:sz w:val="20"/>
              </w:rPr>
            </w:pPr>
          </w:p>
        </w:tc>
      </w:tr>
      <w:tr w:rsidR="0055330C" w14:paraId="7571BF37" w14:textId="77777777">
        <w:trPr>
          <w:trHeight w:val="314"/>
        </w:trPr>
        <w:tc>
          <w:tcPr>
            <w:tcW w:w="6393" w:type="dxa"/>
            <w:gridSpan w:val="2"/>
            <w:tcBorders>
              <w:top w:val="single" w:sz="12" w:space="0" w:color="000000"/>
              <w:bottom w:val="single" w:sz="6" w:space="0" w:color="000000"/>
              <w:right w:val="single" w:sz="6" w:space="0" w:color="000000"/>
            </w:tcBorders>
          </w:tcPr>
          <w:p w14:paraId="307BE85F" w14:textId="77777777" w:rsidR="006F5E85" w:rsidRDefault="00000000">
            <w:pPr>
              <w:pStyle w:val="TableParagraph"/>
              <w:spacing w:before="23"/>
              <w:ind w:left="119"/>
              <w:rPr>
                <w:sz w:val="21"/>
              </w:rPr>
            </w:pPr>
            <w:r>
              <w:rPr>
                <w:b/>
                <w:sz w:val="21"/>
              </w:rPr>
              <w:t xml:space="preserve">Role Title: </w:t>
            </w:r>
            <w:r>
              <w:rPr>
                <w:sz w:val="21"/>
              </w:rPr>
              <w:t>Acquisition Manager (</w:t>
            </w:r>
            <w:r w:rsidR="00C04A00">
              <w:rPr>
                <w:sz w:val="21"/>
              </w:rPr>
              <w:t>5</w:t>
            </w:r>
            <w:r>
              <w:rPr>
                <w:sz w:val="21"/>
              </w:rPr>
              <w:t xml:space="preserve"> days a week</w:t>
            </w:r>
            <w:r w:rsidR="00C04A00">
              <w:rPr>
                <w:sz w:val="21"/>
              </w:rPr>
              <w:t>, Full time</w:t>
            </w:r>
            <w:r>
              <w:rPr>
                <w:sz w:val="21"/>
              </w:rPr>
              <w:t>)</w:t>
            </w:r>
            <w:r w:rsidR="00C04A00">
              <w:rPr>
                <w:sz w:val="21"/>
              </w:rPr>
              <w:t xml:space="preserve"> – </w:t>
            </w:r>
          </w:p>
          <w:p w14:paraId="1DCF60CF" w14:textId="3A92E585" w:rsidR="0055330C" w:rsidRDefault="00C04A00">
            <w:pPr>
              <w:pStyle w:val="TableParagraph"/>
              <w:spacing w:before="23"/>
              <w:ind w:left="119"/>
              <w:rPr>
                <w:sz w:val="21"/>
              </w:rPr>
            </w:pPr>
            <w:r>
              <w:rPr>
                <w:sz w:val="21"/>
              </w:rPr>
              <w:t>1 year contract</w:t>
            </w:r>
          </w:p>
        </w:tc>
        <w:tc>
          <w:tcPr>
            <w:tcW w:w="3692" w:type="dxa"/>
            <w:tcBorders>
              <w:top w:val="single" w:sz="12" w:space="0" w:color="000000"/>
              <w:left w:val="single" w:sz="6" w:space="0" w:color="000000"/>
              <w:bottom w:val="single" w:sz="6" w:space="0" w:color="000000"/>
              <w:right w:val="single" w:sz="6" w:space="0" w:color="000000"/>
            </w:tcBorders>
          </w:tcPr>
          <w:p w14:paraId="37C1B30D" w14:textId="77777777" w:rsidR="0055330C" w:rsidRDefault="00000000">
            <w:pPr>
              <w:pStyle w:val="TableParagraph"/>
              <w:spacing w:before="28"/>
              <w:ind w:left="120"/>
              <w:rPr>
                <w:sz w:val="21"/>
              </w:rPr>
            </w:pPr>
            <w:r>
              <w:rPr>
                <w:b/>
                <w:sz w:val="21"/>
              </w:rPr>
              <w:t xml:space="preserve">Reports to: </w:t>
            </w:r>
            <w:r>
              <w:rPr>
                <w:sz w:val="21"/>
              </w:rPr>
              <w:t>Head of Fundraising</w:t>
            </w:r>
          </w:p>
        </w:tc>
        <w:tc>
          <w:tcPr>
            <w:tcW w:w="3899" w:type="dxa"/>
            <w:tcBorders>
              <w:top w:val="single" w:sz="12" w:space="0" w:color="000000"/>
              <w:left w:val="single" w:sz="6" w:space="0" w:color="000000"/>
              <w:bottom w:val="single" w:sz="6" w:space="0" w:color="000000"/>
            </w:tcBorders>
          </w:tcPr>
          <w:p w14:paraId="1CFEC900" w14:textId="77777777" w:rsidR="0055330C" w:rsidRDefault="00000000">
            <w:pPr>
              <w:pStyle w:val="TableParagraph"/>
              <w:spacing w:before="10"/>
              <w:ind w:left="119"/>
              <w:rPr>
                <w:rFonts w:ascii="Times New Roman"/>
                <w:sz w:val="23"/>
              </w:rPr>
            </w:pPr>
            <w:r>
              <w:rPr>
                <w:b/>
                <w:sz w:val="21"/>
              </w:rPr>
              <w:t xml:space="preserve">Date: </w:t>
            </w:r>
            <w:r>
              <w:rPr>
                <w:sz w:val="21"/>
              </w:rPr>
              <w:t xml:space="preserve">Jan </w:t>
            </w:r>
            <w:r>
              <w:rPr>
                <w:rFonts w:ascii="Times New Roman"/>
                <w:sz w:val="23"/>
              </w:rPr>
              <w:t>2024</w:t>
            </w:r>
          </w:p>
        </w:tc>
      </w:tr>
      <w:tr w:rsidR="0055330C" w14:paraId="6BFCDB87" w14:textId="77777777">
        <w:trPr>
          <w:trHeight w:val="893"/>
        </w:trPr>
        <w:tc>
          <w:tcPr>
            <w:tcW w:w="6393" w:type="dxa"/>
            <w:gridSpan w:val="2"/>
            <w:tcBorders>
              <w:top w:val="single" w:sz="6" w:space="0" w:color="000000"/>
              <w:bottom w:val="single" w:sz="6" w:space="0" w:color="000000"/>
              <w:right w:val="single" w:sz="6" w:space="0" w:color="000000"/>
            </w:tcBorders>
          </w:tcPr>
          <w:p w14:paraId="27C1A65B" w14:textId="77777777" w:rsidR="0055330C" w:rsidRDefault="00000000">
            <w:pPr>
              <w:pStyle w:val="TableParagraph"/>
              <w:spacing w:before="12"/>
              <w:ind w:left="119"/>
              <w:rPr>
                <w:sz w:val="21"/>
              </w:rPr>
            </w:pPr>
            <w:r>
              <w:rPr>
                <w:b/>
                <w:sz w:val="21"/>
              </w:rPr>
              <w:t xml:space="preserve">Department: </w:t>
            </w:r>
            <w:r>
              <w:rPr>
                <w:sz w:val="21"/>
              </w:rPr>
              <w:t>Fundraising</w:t>
            </w:r>
          </w:p>
        </w:tc>
        <w:tc>
          <w:tcPr>
            <w:tcW w:w="3692" w:type="dxa"/>
            <w:tcBorders>
              <w:top w:val="single" w:sz="6" w:space="0" w:color="000000"/>
              <w:left w:val="single" w:sz="6" w:space="0" w:color="000000"/>
              <w:bottom w:val="single" w:sz="6" w:space="0" w:color="000000"/>
              <w:right w:val="single" w:sz="6" w:space="0" w:color="000000"/>
            </w:tcBorders>
          </w:tcPr>
          <w:p w14:paraId="4B17B0D2" w14:textId="77777777" w:rsidR="0055330C" w:rsidRDefault="00000000">
            <w:pPr>
              <w:pStyle w:val="TableParagraph"/>
              <w:spacing w:before="12"/>
              <w:ind w:left="120"/>
              <w:rPr>
                <w:rFonts w:ascii="Times New Roman"/>
                <w:sz w:val="21"/>
              </w:rPr>
            </w:pPr>
            <w:r>
              <w:rPr>
                <w:b/>
                <w:sz w:val="21"/>
              </w:rPr>
              <w:t xml:space="preserve">Direct Reports: </w:t>
            </w:r>
            <w:r>
              <w:rPr>
                <w:rFonts w:ascii="Times New Roman"/>
                <w:sz w:val="21"/>
              </w:rPr>
              <w:t>l</w:t>
            </w:r>
          </w:p>
          <w:p w14:paraId="66E7583B" w14:textId="77777777" w:rsidR="0055330C" w:rsidRDefault="00000000">
            <w:pPr>
              <w:pStyle w:val="TableParagraph"/>
              <w:spacing w:before="7" w:line="290" w:lineRule="atLeast"/>
              <w:ind w:left="118" w:firstLine="2"/>
              <w:rPr>
                <w:sz w:val="21"/>
              </w:rPr>
            </w:pPr>
            <w:r>
              <w:rPr>
                <w:b/>
                <w:sz w:val="21"/>
              </w:rPr>
              <w:t xml:space="preserve">Indirect Reports: </w:t>
            </w:r>
            <w:r>
              <w:rPr>
                <w:sz w:val="21"/>
              </w:rPr>
              <w:t>External Fundraising</w:t>
            </w:r>
            <w:r>
              <w:rPr>
                <w:spacing w:val="54"/>
                <w:sz w:val="21"/>
              </w:rPr>
              <w:t xml:space="preserve"> </w:t>
            </w:r>
            <w:r>
              <w:rPr>
                <w:sz w:val="21"/>
              </w:rPr>
              <w:t>agencies</w:t>
            </w:r>
          </w:p>
        </w:tc>
        <w:tc>
          <w:tcPr>
            <w:tcW w:w="3899" w:type="dxa"/>
            <w:tcBorders>
              <w:top w:val="single" w:sz="6" w:space="0" w:color="000000"/>
              <w:left w:val="single" w:sz="6" w:space="0" w:color="000000"/>
              <w:bottom w:val="single" w:sz="6" w:space="0" w:color="000000"/>
            </w:tcBorders>
          </w:tcPr>
          <w:p w14:paraId="5430B782" w14:textId="77777777" w:rsidR="0055330C" w:rsidRDefault="00000000">
            <w:pPr>
              <w:pStyle w:val="TableParagraph"/>
              <w:spacing w:before="12"/>
              <w:ind w:left="119"/>
              <w:rPr>
                <w:sz w:val="21"/>
              </w:rPr>
            </w:pPr>
            <w:r>
              <w:rPr>
                <w:b/>
                <w:sz w:val="21"/>
              </w:rPr>
              <w:t xml:space="preserve">Budget Holder: </w:t>
            </w:r>
            <w:r>
              <w:rPr>
                <w:sz w:val="21"/>
              </w:rPr>
              <w:t>Yes</w:t>
            </w:r>
          </w:p>
        </w:tc>
      </w:tr>
      <w:tr w:rsidR="0055330C" w14:paraId="087824ED" w14:textId="77777777">
        <w:trPr>
          <w:trHeight w:val="622"/>
        </w:trPr>
        <w:tc>
          <w:tcPr>
            <w:tcW w:w="6393" w:type="dxa"/>
            <w:gridSpan w:val="2"/>
            <w:tcBorders>
              <w:top w:val="single" w:sz="6" w:space="0" w:color="000000"/>
              <w:right w:val="single" w:sz="6" w:space="0" w:color="000000"/>
            </w:tcBorders>
          </w:tcPr>
          <w:p w14:paraId="5E7EBA0F" w14:textId="77777777" w:rsidR="0055330C" w:rsidRDefault="00000000">
            <w:pPr>
              <w:pStyle w:val="TableParagraph"/>
              <w:spacing w:before="26"/>
              <w:ind w:left="118"/>
              <w:rPr>
                <w:sz w:val="21"/>
              </w:rPr>
            </w:pPr>
            <w:r>
              <w:rPr>
                <w:b/>
                <w:w w:val="105"/>
                <w:sz w:val="21"/>
              </w:rPr>
              <w:t xml:space="preserve">Location: </w:t>
            </w:r>
            <w:r>
              <w:rPr>
                <w:w w:val="105"/>
                <w:sz w:val="21"/>
              </w:rPr>
              <w:t>Dublin l with Hybrid Working policy and set office</w:t>
            </w:r>
          </w:p>
          <w:p w14:paraId="3EB4C091" w14:textId="77777777" w:rsidR="0055330C" w:rsidRDefault="00000000">
            <w:pPr>
              <w:pStyle w:val="TableParagraph"/>
              <w:spacing w:before="61"/>
              <w:ind w:left="122"/>
              <w:rPr>
                <w:sz w:val="21"/>
              </w:rPr>
            </w:pPr>
            <w:r>
              <w:rPr>
                <w:sz w:val="21"/>
              </w:rPr>
              <w:t>days</w:t>
            </w:r>
          </w:p>
        </w:tc>
        <w:tc>
          <w:tcPr>
            <w:tcW w:w="7591" w:type="dxa"/>
            <w:gridSpan w:val="2"/>
            <w:tcBorders>
              <w:top w:val="single" w:sz="6" w:space="0" w:color="000000"/>
              <w:left w:val="single" w:sz="6" w:space="0" w:color="000000"/>
            </w:tcBorders>
          </w:tcPr>
          <w:p w14:paraId="374C62D4" w14:textId="77777777" w:rsidR="0055330C" w:rsidRDefault="00000000">
            <w:pPr>
              <w:pStyle w:val="TableParagraph"/>
              <w:spacing w:before="26"/>
              <w:ind w:left="116"/>
              <w:rPr>
                <w:sz w:val="21"/>
              </w:rPr>
            </w:pPr>
            <w:r>
              <w:rPr>
                <w:b/>
                <w:sz w:val="21"/>
              </w:rPr>
              <w:t xml:space="preserve">Contract: </w:t>
            </w:r>
            <w:r>
              <w:rPr>
                <w:sz w:val="21"/>
              </w:rPr>
              <w:t>Permanent</w:t>
            </w:r>
          </w:p>
        </w:tc>
      </w:tr>
      <w:tr w:rsidR="0055330C" w14:paraId="57F9DC8C" w14:textId="77777777">
        <w:trPr>
          <w:trHeight w:val="5242"/>
        </w:trPr>
        <w:tc>
          <w:tcPr>
            <w:tcW w:w="13984" w:type="dxa"/>
            <w:gridSpan w:val="4"/>
            <w:tcBorders>
              <w:bottom w:val="single" w:sz="6" w:space="0" w:color="000000"/>
            </w:tcBorders>
          </w:tcPr>
          <w:p w14:paraId="042D5DA3" w14:textId="77777777" w:rsidR="0055330C" w:rsidRDefault="0055330C">
            <w:pPr>
              <w:pStyle w:val="TableParagraph"/>
              <w:spacing w:before="2"/>
              <w:ind w:left="0"/>
              <w:rPr>
                <w:rFonts w:ascii="Times New Roman"/>
                <w:sz w:val="25"/>
              </w:rPr>
            </w:pPr>
          </w:p>
          <w:p w14:paraId="5B6DD8E8" w14:textId="77777777" w:rsidR="0055330C" w:rsidRDefault="00000000">
            <w:pPr>
              <w:pStyle w:val="TableParagraph"/>
              <w:spacing w:line="285" w:lineRule="auto"/>
              <w:ind w:left="120" w:right="433" w:hanging="7"/>
              <w:rPr>
                <w:sz w:val="21"/>
              </w:rPr>
            </w:pPr>
            <w:r>
              <w:rPr>
                <w:b/>
                <w:w w:val="105"/>
                <w:sz w:val="21"/>
              </w:rPr>
              <w:t xml:space="preserve">Context: </w:t>
            </w:r>
            <w:r>
              <w:rPr>
                <w:w w:val="105"/>
                <w:sz w:val="21"/>
              </w:rPr>
              <w:t xml:space="preserve">The Fundraising team is essential to delivering ActionAid Ireland's strategy </w:t>
            </w:r>
            <w:r>
              <w:rPr>
                <w:rFonts w:ascii="Times New Roman"/>
                <w:spacing w:val="3"/>
                <w:w w:val="105"/>
                <w:sz w:val="23"/>
              </w:rPr>
              <w:t>2023-202</w:t>
            </w:r>
            <w:r>
              <w:rPr>
                <w:spacing w:val="3"/>
                <w:w w:val="105"/>
                <w:sz w:val="21"/>
              </w:rPr>
              <w:t xml:space="preserve">7 </w:t>
            </w:r>
            <w:r>
              <w:rPr>
                <w:w w:val="105"/>
                <w:sz w:val="21"/>
              </w:rPr>
              <w:t>to create a just and caring world where women's human rights are respected through addressing the structural causes of Gender Based Violence (GBV), promoting women's leadership in humanitarian contexts and amplifying feminist alternatives on economic and climate justice. ActionAid  Ireland's  strategy also makes clear commitments to financial sustainability targets, which the Fundraising team plays a critical</w:t>
            </w:r>
            <w:r>
              <w:rPr>
                <w:spacing w:val="19"/>
                <w:w w:val="105"/>
                <w:sz w:val="21"/>
              </w:rPr>
              <w:t xml:space="preserve"> </w:t>
            </w:r>
            <w:r>
              <w:rPr>
                <w:w w:val="105"/>
                <w:sz w:val="21"/>
              </w:rPr>
              <w:t>role in.</w:t>
            </w:r>
          </w:p>
          <w:p w14:paraId="202719F2" w14:textId="77777777" w:rsidR="0055330C" w:rsidRDefault="0055330C">
            <w:pPr>
              <w:pStyle w:val="TableParagraph"/>
              <w:spacing w:before="2"/>
              <w:ind w:left="0"/>
              <w:rPr>
                <w:rFonts w:ascii="Times New Roman"/>
                <w:sz w:val="27"/>
              </w:rPr>
            </w:pPr>
          </w:p>
          <w:p w14:paraId="171B0E57" w14:textId="57183F2B" w:rsidR="0055330C" w:rsidRDefault="00000000">
            <w:pPr>
              <w:pStyle w:val="TableParagraph"/>
              <w:spacing w:line="290" w:lineRule="auto"/>
              <w:ind w:left="118" w:right="433" w:firstLine="1"/>
              <w:rPr>
                <w:w w:val="105"/>
                <w:sz w:val="21"/>
              </w:rPr>
            </w:pPr>
            <w:r>
              <w:rPr>
                <w:w w:val="105"/>
                <w:sz w:val="21"/>
              </w:rPr>
              <w:t>The Acquisition Manager will be responsible for delivering the acquisition income and supporter recruitment targets, to increase revenue from Irish audiences and drive innovation into the organisation. This role will manage and oversee  all digital fundraising  activities, managing the Digital Fundraising Executive who is responsible for oversight of the functionality of the ActionAid  website for fundraising. They will be responsible for development of the Legacy proposition and marketing to  new and existing supporters,  and actively manage and run the Face to Face agencies in delivery attrition and  volume  targets in  line  with their  budgets. Communications  function  of this role include new starter journeys, which will fall to the post holder to develop and create in line with audience insights, and manage the Digital Executive to operationalize to selected bases. Communications and marketing  strategies  for  Emergency  appeals  to  cold and warm audiences will also be the responsibility of this role, in</w:t>
            </w:r>
            <w:r>
              <w:rPr>
                <w:spacing w:val="47"/>
                <w:w w:val="105"/>
                <w:sz w:val="21"/>
              </w:rPr>
              <w:t xml:space="preserve"> </w:t>
            </w:r>
            <w:r>
              <w:rPr>
                <w:w w:val="105"/>
                <w:sz w:val="21"/>
              </w:rPr>
              <w:t>times of large scale emergency fundraising.</w:t>
            </w:r>
          </w:p>
          <w:p w14:paraId="19A6A155" w14:textId="77777777" w:rsidR="00C04A00" w:rsidRDefault="00C04A00">
            <w:pPr>
              <w:pStyle w:val="TableParagraph"/>
              <w:spacing w:line="290" w:lineRule="auto"/>
              <w:ind w:left="118" w:right="433" w:firstLine="1"/>
              <w:rPr>
                <w:sz w:val="21"/>
              </w:rPr>
            </w:pPr>
          </w:p>
          <w:p w14:paraId="0401E6A4" w14:textId="1C8E622D" w:rsidR="0055330C" w:rsidRDefault="00C04A00">
            <w:pPr>
              <w:pStyle w:val="TableParagraph"/>
              <w:spacing w:before="8" w:line="295" w:lineRule="auto"/>
              <w:ind w:left="122" w:right="801" w:hanging="8"/>
              <w:rPr>
                <w:sz w:val="21"/>
              </w:rPr>
            </w:pPr>
            <w:r>
              <w:rPr>
                <w:w w:val="105"/>
                <w:sz w:val="21"/>
              </w:rPr>
              <w:t>This role is initially a 1-year contract. In delivering this role, the post holder will also explore new opportunities for income generation to cold audiences and test and optimize messaging to better inform communications to new audiences for future campaigns.</w:t>
            </w:r>
          </w:p>
        </w:tc>
      </w:tr>
      <w:tr w:rsidR="0055330C" w14:paraId="48DAA926" w14:textId="77777777">
        <w:trPr>
          <w:trHeight w:val="1186"/>
        </w:trPr>
        <w:tc>
          <w:tcPr>
            <w:tcW w:w="13984" w:type="dxa"/>
            <w:gridSpan w:val="4"/>
            <w:tcBorders>
              <w:top w:val="single" w:sz="6" w:space="0" w:color="000000"/>
              <w:bottom w:val="single" w:sz="6" w:space="0" w:color="000000"/>
            </w:tcBorders>
          </w:tcPr>
          <w:p w14:paraId="278EBED4" w14:textId="77777777" w:rsidR="0055330C" w:rsidRDefault="00000000">
            <w:pPr>
              <w:pStyle w:val="TableParagraph"/>
              <w:spacing w:before="16" w:line="292" w:lineRule="auto"/>
              <w:ind w:left="121" w:right="433" w:hanging="4"/>
              <w:rPr>
                <w:sz w:val="21"/>
              </w:rPr>
            </w:pPr>
            <w:r>
              <w:rPr>
                <w:b/>
                <w:sz w:val="21"/>
              </w:rPr>
              <w:t xml:space="preserve">Key Attributes: </w:t>
            </w:r>
            <w:r>
              <w:rPr>
                <w:sz w:val="21"/>
              </w:rPr>
              <w:t>Ability to work  autonomously  and drive  an area  of  work, excellent  project  planning  skills,  strong  knowledge  of  Google ads management and paid digital channels, excellent content generation and communications skills, including audience segmentation, experience working with data, email and email systems, website and SEO management, excellent management skills, a</w:t>
            </w:r>
            <w:r>
              <w:rPr>
                <w:spacing w:val="16"/>
                <w:sz w:val="21"/>
              </w:rPr>
              <w:t xml:space="preserve"> </w:t>
            </w:r>
            <w:r>
              <w:rPr>
                <w:sz w:val="21"/>
              </w:rPr>
              <w:t>clear</w:t>
            </w:r>
          </w:p>
          <w:p w14:paraId="2A3B87EF" w14:textId="77777777" w:rsidR="0055330C" w:rsidRDefault="00000000">
            <w:pPr>
              <w:pStyle w:val="TableParagraph"/>
              <w:spacing w:line="237" w:lineRule="exact"/>
              <w:ind w:left="121"/>
              <w:rPr>
                <w:sz w:val="21"/>
              </w:rPr>
            </w:pPr>
            <w:r>
              <w:rPr>
                <w:w w:val="105"/>
                <w:sz w:val="21"/>
              </w:rPr>
              <w:t>commitment to ActionAid's mission and values.</w:t>
            </w:r>
          </w:p>
        </w:tc>
      </w:tr>
    </w:tbl>
    <w:p w14:paraId="07980208" w14:textId="77777777" w:rsidR="0055330C" w:rsidRDefault="0055330C">
      <w:pPr>
        <w:spacing w:line="237" w:lineRule="exact"/>
        <w:rPr>
          <w:sz w:val="21"/>
        </w:rPr>
        <w:sectPr w:rsidR="0055330C" w:rsidSect="005007AD">
          <w:headerReference w:type="default" r:id="rId8"/>
          <w:type w:val="continuous"/>
          <w:pgSz w:w="16840" w:h="11910" w:orient="landscape"/>
          <w:pgMar w:top="1180" w:right="1180" w:bottom="280" w:left="1440" w:header="712" w:footer="720" w:gutter="0"/>
          <w:cols w:space="720"/>
        </w:sectPr>
      </w:pPr>
    </w:p>
    <w:p w14:paraId="6D929D9B" w14:textId="77777777" w:rsidR="0055330C" w:rsidRDefault="0055330C">
      <w:pPr>
        <w:spacing w:before="6" w:after="1"/>
        <w:rPr>
          <w:rFonts w:ascii="Times New Roman"/>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12001"/>
      </w:tblGrid>
      <w:tr w:rsidR="0055330C" w14:paraId="414D85F1" w14:textId="77777777">
        <w:trPr>
          <w:trHeight w:val="309"/>
        </w:trPr>
        <w:tc>
          <w:tcPr>
            <w:tcW w:w="13981" w:type="dxa"/>
            <w:gridSpan w:val="2"/>
            <w:tcBorders>
              <w:left w:val="single" w:sz="4" w:space="0" w:color="000000"/>
              <w:bottom w:val="single" w:sz="4" w:space="0" w:color="000000"/>
              <w:right w:val="single" w:sz="4" w:space="0" w:color="000000"/>
            </w:tcBorders>
          </w:tcPr>
          <w:p w14:paraId="2CB5460F" w14:textId="77777777" w:rsidR="0055330C" w:rsidRDefault="0055330C">
            <w:pPr>
              <w:pStyle w:val="TableParagraph"/>
              <w:ind w:left="0"/>
              <w:rPr>
                <w:rFonts w:ascii="Times New Roman"/>
                <w:sz w:val="20"/>
              </w:rPr>
            </w:pPr>
          </w:p>
        </w:tc>
      </w:tr>
      <w:tr w:rsidR="0055330C" w14:paraId="6D030C65" w14:textId="77777777">
        <w:trPr>
          <w:trHeight w:val="309"/>
        </w:trPr>
        <w:tc>
          <w:tcPr>
            <w:tcW w:w="1980" w:type="dxa"/>
            <w:tcBorders>
              <w:top w:val="single" w:sz="4" w:space="0" w:color="000000"/>
              <w:left w:val="single" w:sz="4" w:space="0" w:color="000000"/>
            </w:tcBorders>
          </w:tcPr>
          <w:p w14:paraId="561835E2" w14:textId="77777777" w:rsidR="0055330C" w:rsidRDefault="00000000">
            <w:pPr>
              <w:pStyle w:val="TableParagraph"/>
              <w:spacing w:before="19"/>
              <w:ind w:left="119"/>
              <w:rPr>
                <w:b/>
                <w:sz w:val="21"/>
              </w:rPr>
            </w:pPr>
            <w:r>
              <w:rPr>
                <w:b/>
                <w:sz w:val="21"/>
              </w:rPr>
              <w:t>Areas of Activity</w:t>
            </w:r>
          </w:p>
        </w:tc>
        <w:tc>
          <w:tcPr>
            <w:tcW w:w="12001" w:type="dxa"/>
            <w:tcBorders>
              <w:top w:val="single" w:sz="4" w:space="0" w:color="000000"/>
              <w:right w:val="single" w:sz="4" w:space="0" w:color="000000"/>
            </w:tcBorders>
          </w:tcPr>
          <w:p w14:paraId="79D7F5F1" w14:textId="77777777" w:rsidR="0055330C" w:rsidRDefault="00000000">
            <w:pPr>
              <w:pStyle w:val="TableParagraph"/>
              <w:spacing w:before="19"/>
              <w:ind w:left="121"/>
              <w:rPr>
                <w:b/>
                <w:sz w:val="21"/>
              </w:rPr>
            </w:pPr>
            <w:r>
              <w:rPr>
                <w:b/>
                <w:sz w:val="21"/>
              </w:rPr>
              <w:t>Key Accountabilities and Deliverables</w:t>
            </w:r>
          </w:p>
        </w:tc>
      </w:tr>
      <w:tr w:rsidR="0055330C" w14:paraId="3C4A8D47" w14:textId="77777777">
        <w:trPr>
          <w:trHeight w:val="6367"/>
        </w:trPr>
        <w:tc>
          <w:tcPr>
            <w:tcW w:w="1980" w:type="dxa"/>
            <w:tcBorders>
              <w:left w:val="single" w:sz="4" w:space="0" w:color="000000"/>
              <w:bottom w:val="single" w:sz="4" w:space="0" w:color="000000"/>
            </w:tcBorders>
          </w:tcPr>
          <w:p w14:paraId="28FF639F" w14:textId="77777777" w:rsidR="0055330C" w:rsidRDefault="00000000">
            <w:pPr>
              <w:pStyle w:val="TableParagraph"/>
              <w:spacing w:before="21" w:line="285" w:lineRule="auto"/>
              <w:ind w:left="117" w:right="113" w:firstLine="2"/>
              <w:rPr>
                <w:b/>
                <w:sz w:val="21"/>
              </w:rPr>
            </w:pPr>
            <w:r>
              <w:rPr>
                <w:b/>
                <w:sz w:val="21"/>
              </w:rPr>
              <w:t>Management and Strategy</w:t>
            </w:r>
          </w:p>
        </w:tc>
        <w:tc>
          <w:tcPr>
            <w:tcW w:w="12001" w:type="dxa"/>
            <w:tcBorders>
              <w:bottom w:val="single" w:sz="4" w:space="0" w:color="000000"/>
              <w:right w:val="single" w:sz="4" w:space="0" w:color="000000"/>
            </w:tcBorders>
          </w:tcPr>
          <w:p w14:paraId="689D9803" w14:textId="77777777" w:rsidR="0055330C" w:rsidRDefault="00000000">
            <w:pPr>
              <w:pStyle w:val="TableParagraph"/>
              <w:numPr>
                <w:ilvl w:val="0"/>
                <w:numId w:val="9"/>
              </w:numPr>
              <w:tabs>
                <w:tab w:val="left" w:pos="485"/>
                <w:tab w:val="left" w:pos="486"/>
              </w:tabs>
              <w:spacing w:before="21" w:line="285" w:lineRule="auto"/>
              <w:ind w:right="380" w:hanging="441"/>
              <w:rPr>
                <w:sz w:val="21"/>
              </w:rPr>
            </w:pPr>
            <w:r>
              <w:rPr>
                <w:sz w:val="21"/>
              </w:rPr>
              <w:t>Work with Head of Fundraising, develop and implement full strategic plans for  all  acquisition  channels  which generate new income and supporters into the organisation, using past performance and data insights to deliver campaigns, including digital acquisition, F2F, Legacy and Emergency Appeal Fundraising</w:t>
            </w:r>
            <w:r>
              <w:rPr>
                <w:spacing w:val="-2"/>
                <w:sz w:val="21"/>
              </w:rPr>
              <w:t xml:space="preserve"> </w:t>
            </w:r>
            <w:r>
              <w:rPr>
                <w:sz w:val="21"/>
              </w:rPr>
              <w:t>campaigns.</w:t>
            </w:r>
          </w:p>
          <w:p w14:paraId="00DD8F59" w14:textId="77777777" w:rsidR="0055330C" w:rsidRDefault="00000000">
            <w:pPr>
              <w:pStyle w:val="TableParagraph"/>
              <w:numPr>
                <w:ilvl w:val="0"/>
                <w:numId w:val="9"/>
              </w:numPr>
              <w:tabs>
                <w:tab w:val="left" w:pos="481"/>
                <w:tab w:val="left" w:pos="482"/>
              </w:tabs>
              <w:spacing w:before="19" w:line="295" w:lineRule="auto"/>
              <w:ind w:right="355"/>
              <w:rPr>
                <w:sz w:val="21"/>
              </w:rPr>
            </w:pPr>
            <w:r>
              <w:rPr>
                <w:w w:val="105"/>
                <w:position w:val="1"/>
                <w:sz w:val="21"/>
              </w:rPr>
              <w:t>Manage the Digital Executive to deliver on all digital and offline acquisition income, expenditure, volume targets</w:t>
            </w:r>
            <w:r>
              <w:rPr>
                <w:w w:val="105"/>
                <w:sz w:val="21"/>
              </w:rPr>
              <w:t xml:space="preserve"> across agreed KPl's to grow these areas and optimise balance across restricted/unrestricted</w:t>
            </w:r>
            <w:r>
              <w:rPr>
                <w:spacing w:val="23"/>
                <w:w w:val="105"/>
                <w:sz w:val="21"/>
              </w:rPr>
              <w:t xml:space="preserve"> </w:t>
            </w:r>
            <w:r>
              <w:rPr>
                <w:w w:val="105"/>
                <w:sz w:val="21"/>
              </w:rPr>
              <w:t>income</w:t>
            </w:r>
          </w:p>
          <w:p w14:paraId="4ED0FE28" w14:textId="77777777" w:rsidR="0055330C" w:rsidRDefault="00000000">
            <w:pPr>
              <w:pStyle w:val="TableParagraph"/>
              <w:numPr>
                <w:ilvl w:val="0"/>
                <w:numId w:val="9"/>
              </w:numPr>
              <w:tabs>
                <w:tab w:val="left" w:pos="481"/>
                <w:tab w:val="left" w:pos="482"/>
              </w:tabs>
              <w:spacing w:line="295" w:lineRule="auto"/>
              <w:ind w:right="331"/>
              <w:rPr>
                <w:sz w:val="21"/>
              </w:rPr>
            </w:pPr>
            <w:r>
              <w:rPr>
                <w:w w:val="105"/>
                <w:sz w:val="21"/>
              </w:rPr>
              <w:t>Lead on the development and launch Legacy fundraising in the organization, including proposition development and</w:t>
            </w:r>
            <w:r>
              <w:rPr>
                <w:spacing w:val="29"/>
                <w:w w:val="105"/>
                <w:sz w:val="21"/>
              </w:rPr>
              <w:t xml:space="preserve"> </w:t>
            </w:r>
            <w:r>
              <w:rPr>
                <w:w w:val="105"/>
                <w:sz w:val="21"/>
              </w:rPr>
              <w:t>marketing</w:t>
            </w:r>
          </w:p>
          <w:p w14:paraId="42B3208B" w14:textId="77777777" w:rsidR="0055330C" w:rsidRDefault="00000000">
            <w:pPr>
              <w:pStyle w:val="TableParagraph"/>
              <w:numPr>
                <w:ilvl w:val="0"/>
                <w:numId w:val="9"/>
              </w:numPr>
              <w:tabs>
                <w:tab w:val="left" w:pos="485"/>
                <w:tab w:val="left" w:pos="486"/>
              </w:tabs>
              <w:spacing w:line="297" w:lineRule="auto"/>
              <w:ind w:left="481" w:right="281" w:hanging="438"/>
              <w:rPr>
                <w:sz w:val="21"/>
              </w:rPr>
            </w:pPr>
            <w:r>
              <w:rPr>
                <w:w w:val="105"/>
                <w:sz w:val="21"/>
              </w:rPr>
              <w:t>Work closely with Head of Fundraising, Retention Manager, Digital Executive and Campaigns and Communication Manager to achieve cross-organisational goals and ensure all areas of messaging and communications by ActionAid Ireland is</w:t>
            </w:r>
            <w:r>
              <w:rPr>
                <w:spacing w:val="-31"/>
                <w:w w:val="105"/>
                <w:sz w:val="21"/>
              </w:rPr>
              <w:t xml:space="preserve"> </w:t>
            </w:r>
            <w:r>
              <w:rPr>
                <w:w w:val="105"/>
                <w:sz w:val="21"/>
              </w:rPr>
              <w:t>aligned</w:t>
            </w:r>
          </w:p>
          <w:p w14:paraId="6CF45BE5" w14:textId="77777777" w:rsidR="0055330C" w:rsidRDefault="00000000">
            <w:pPr>
              <w:pStyle w:val="TableParagraph"/>
              <w:numPr>
                <w:ilvl w:val="0"/>
                <w:numId w:val="9"/>
              </w:numPr>
              <w:tabs>
                <w:tab w:val="left" w:pos="481"/>
                <w:tab w:val="left" w:pos="482"/>
              </w:tabs>
              <w:spacing w:line="240" w:lineRule="exact"/>
              <w:ind w:left="481" w:hanging="439"/>
              <w:rPr>
                <w:sz w:val="21"/>
              </w:rPr>
            </w:pPr>
            <w:r>
              <w:rPr>
                <w:w w:val="105"/>
                <w:sz w:val="21"/>
              </w:rPr>
              <w:t>Lead on the development of all acquisition budget planning and reforecasting in setting investment, income,</w:t>
            </w:r>
            <w:r>
              <w:rPr>
                <w:spacing w:val="-11"/>
                <w:w w:val="105"/>
                <w:sz w:val="21"/>
              </w:rPr>
              <w:t xml:space="preserve"> </w:t>
            </w:r>
            <w:r>
              <w:rPr>
                <w:w w:val="105"/>
                <w:sz w:val="21"/>
              </w:rPr>
              <w:t>LTV</w:t>
            </w:r>
          </w:p>
          <w:p w14:paraId="75765381" w14:textId="77777777" w:rsidR="0055330C" w:rsidRDefault="00000000">
            <w:pPr>
              <w:pStyle w:val="TableParagraph"/>
              <w:spacing w:before="33"/>
              <w:rPr>
                <w:sz w:val="21"/>
              </w:rPr>
            </w:pPr>
            <w:r>
              <w:rPr>
                <w:w w:val="105"/>
                <w:sz w:val="21"/>
              </w:rPr>
              <w:t>and return levels, as well as formulating required KPls across activity</w:t>
            </w:r>
          </w:p>
          <w:p w14:paraId="576E6AAE" w14:textId="77777777" w:rsidR="0055330C" w:rsidRDefault="00000000">
            <w:pPr>
              <w:pStyle w:val="TableParagraph"/>
              <w:numPr>
                <w:ilvl w:val="0"/>
                <w:numId w:val="9"/>
              </w:numPr>
              <w:tabs>
                <w:tab w:val="left" w:pos="483"/>
                <w:tab w:val="left" w:pos="484"/>
              </w:tabs>
              <w:spacing w:before="47" w:line="295" w:lineRule="auto"/>
              <w:ind w:right="390"/>
              <w:rPr>
                <w:sz w:val="21"/>
              </w:rPr>
            </w:pPr>
            <w:r>
              <w:rPr>
                <w:w w:val="105"/>
                <w:sz w:val="21"/>
              </w:rPr>
              <w:t>Approval of all acquisition related invoices and management of expenditure logs, working with Finance team to ensure no delays in supplier</w:t>
            </w:r>
            <w:r>
              <w:rPr>
                <w:spacing w:val="-8"/>
                <w:w w:val="105"/>
                <w:sz w:val="21"/>
              </w:rPr>
              <w:t xml:space="preserve"> </w:t>
            </w:r>
            <w:r>
              <w:rPr>
                <w:w w:val="105"/>
                <w:sz w:val="21"/>
              </w:rPr>
              <w:t>payment</w:t>
            </w:r>
          </w:p>
          <w:p w14:paraId="41FF87ED" w14:textId="77777777" w:rsidR="0055330C" w:rsidRDefault="00000000">
            <w:pPr>
              <w:pStyle w:val="TableParagraph"/>
              <w:numPr>
                <w:ilvl w:val="0"/>
                <w:numId w:val="9"/>
              </w:numPr>
              <w:tabs>
                <w:tab w:val="left" w:pos="481"/>
                <w:tab w:val="left" w:pos="482"/>
              </w:tabs>
              <w:spacing w:line="295" w:lineRule="auto"/>
              <w:ind w:left="483" w:right="881" w:hanging="440"/>
              <w:rPr>
                <w:sz w:val="21"/>
              </w:rPr>
            </w:pPr>
            <w:r>
              <w:rPr>
                <w:sz w:val="21"/>
              </w:rPr>
              <w:t>Manage external supplier agencies (creative, Telemarketing, F2F) and oversee contracts that maximise and protect ActionAid Ireland reputation and</w:t>
            </w:r>
            <w:r>
              <w:rPr>
                <w:spacing w:val="-17"/>
                <w:sz w:val="21"/>
              </w:rPr>
              <w:t xml:space="preserve"> </w:t>
            </w:r>
            <w:r>
              <w:rPr>
                <w:sz w:val="21"/>
              </w:rPr>
              <w:t>assets</w:t>
            </w:r>
          </w:p>
          <w:p w14:paraId="030E6C76" w14:textId="77777777" w:rsidR="0055330C" w:rsidRDefault="00000000">
            <w:pPr>
              <w:pStyle w:val="TableParagraph"/>
              <w:numPr>
                <w:ilvl w:val="0"/>
                <w:numId w:val="9"/>
              </w:numPr>
              <w:tabs>
                <w:tab w:val="left" w:pos="483"/>
                <w:tab w:val="left" w:pos="484"/>
              </w:tabs>
              <w:spacing w:line="248" w:lineRule="exact"/>
              <w:ind w:left="483" w:hanging="441"/>
              <w:rPr>
                <w:sz w:val="21"/>
              </w:rPr>
            </w:pPr>
            <w:r>
              <w:rPr>
                <w:w w:val="105"/>
                <w:sz w:val="21"/>
              </w:rPr>
              <w:t>Adherence and delivery of all procurement requirements for working with agencies, aligning with</w:t>
            </w:r>
            <w:r>
              <w:rPr>
                <w:spacing w:val="-28"/>
                <w:w w:val="105"/>
                <w:sz w:val="21"/>
              </w:rPr>
              <w:t xml:space="preserve"> </w:t>
            </w:r>
            <w:r>
              <w:rPr>
                <w:w w:val="105"/>
                <w:sz w:val="21"/>
              </w:rPr>
              <w:t>ActionAid</w:t>
            </w:r>
          </w:p>
          <w:p w14:paraId="5B63AAC8" w14:textId="77777777" w:rsidR="0055330C" w:rsidRDefault="00000000">
            <w:pPr>
              <w:pStyle w:val="TableParagraph"/>
              <w:spacing w:before="54"/>
              <w:ind w:left="477"/>
              <w:rPr>
                <w:sz w:val="21"/>
              </w:rPr>
            </w:pPr>
            <w:r>
              <w:rPr>
                <w:w w:val="105"/>
                <w:sz w:val="21"/>
              </w:rPr>
              <w:t>Ireland's internal policies</w:t>
            </w:r>
          </w:p>
          <w:p w14:paraId="199B922D" w14:textId="77777777" w:rsidR="0055330C" w:rsidRDefault="00000000">
            <w:pPr>
              <w:pStyle w:val="TableParagraph"/>
              <w:numPr>
                <w:ilvl w:val="0"/>
                <w:numId w:val="9"/>
              </w:numPr>
              <w:tabs>
                <w:tab w:val="left" w:pos="482"/>
                <w:tab w:val="left" w:pos="483"/>
              </w:tabs>
              <w:spacing w:before="37"/>
              <w:ind w:left="482" w:hanging="440"/>
              <w:rPr>
                <w:sz w:val="21"/>
              </w:rPr>
            </w:pPr>
            <w:r>
              <w:rPr>
                <w:w w:val="105"/>
                <w:sz w:val="21"/>
              </w:rPr>
              <w:t>Scope and sourcing of new suppliers for core activity as and when</w:t>
            </w:r>
            <w:r>
              <w:rPr>
                <w:spacing w:val="3"/>
                <w:w w:val="105"/>
                <w:sz w:val="21"/>
              </w:rPr>
              <w:t xml:space="preserve"> </w:t>
            </w:r>
            <w:r>
              <w:rPr>
                <w:w w:val="105"/>
                <w:sz w:val="21"/>
              </w:rPr>
              <w:t>required</w:t>
            </w:r>
          </w:p>
          <w:p w14:paraId="004398D3" w14:textId="77777777" w:rsidR="0055330C" w:rsidRDefault="00000000">
            <w:pPr>
              <w:pStyle w:val="TableParagraph"/>
              <w:numPr>
                <w:ilvl w:val="0"/>
                <w:numId w:val="9"/>
              </w:numPr>
              <w:tabs>
                <w:tab w:val="left" w:pos="482"/>
                <w:tab w:val="left" w:pos="483"/>
              </w:tabs>
              <w:spacing w:before="12" w:line="300" w:lineRule="atLeast"/>
              <w:ind w:left="483" w:right="289" w:hanging="440"/>
              <w:rPr>
                <w:sz w:val="21"/>
              </w:rPr>
            </w:pPr>
            <w:r>
              <w:rPr>
                <w:w w:val="105"/>
                <w:sz w:val="21"/>
              </w:rPr>
              <w:t>Supporting Head of Fundraising in operationalising new income channels identified for inclusion into Fundraising programme</w:t>
            </w:r>
          </w:p>
        </w:tc>
      </w:tr>
      <w:tr w:rsidR="0055330C" w14:paraId="35103696" w14:textId="77777777">
        <w:trPr>
          <w:trHeight w:val="1862"/>
        </w:trPr>
        <w:tc>
          <w:tcPr>
            <w:tcW w:w="1980" w:type="dxa"/>
            <w:tcBorders>
              <w:top w:val="single" w:sz="4" w:space="0" w:color="000000"/>
              <w:left w:val="single" w:sz="4" w:space="0" w:color="000000"/>
            </w:tcBorders>
          </w:tcPr>
          <w:p w14:paraId="131AA03C" w14:textId="77777777" w:rsidR="0055330C" w:rsidRDefault="00000000">
            <w:pPr>
              <w:pStyle w:val="TableParagraph"/>
              <w:spacing w:before="19"/>
              <w:ind w:left="119"/>
              <w:rPr>
                <w:b/>
                <w:sz w:val="21"/>
              </w:rPr>
            </w:pPr>
            <w:r>
              <w:rPr>
                <w:b/>
                <w:sz w:val="21"/>
              </w:rPr>
              <w:t>Fundraising</w:t>
            </w:r>
          </w:p>
        </w:tc>
        <w:tc>
          <w:tcPr>
            <w:tcW w:w="12001" w:type="dxa"/>
            <w:tcBorders>
              <w:top w:val="single" w:sz="4" w:space="0" w:color="000000"/>
              <w:right w:val="single" w:sz="4" w:space="0" w:color="000000"/>
            </w:tcBorders>
          </w:tcPr>
          <w:p w14:paraId="7F81CB93" w14:textId="77777777" w:rsidR="0055330C" w:rsidRDefault="00000000">
            <w:pPr>
              <w:pStyle w:val="TableParagraph"/>
              <w:numPr>
                <w:ilvl w:val="0"/>
                <w:numId w:val="8"/>
              </w:numPr>
              <w:tabs>
                <w:tab w:val="left" w:pos="477"/>
                <w:tab w:val="left" w:pos="478"/>
              </w:tabs>
              <w:spacing w:before="4" w:line="292" w:lineRule="auto"/>
              <w:ind w:right="750" w:hanging="426"/>
              <w:rPr>
                <w:sz w:val="21"/>
              </w:rPr>
            </w:pPr>
            <w:r>
              <w:rPr>
                <w:w w:val="105"/>
                <w:sz w:val="21"/>
              </w:rPr>
              <w:t>In accordance with budgets, working with external suppliers where required, design and manage the implementation of all acquisition activities and subsequent briefing and management of Digital Executive to deliver:</w:t>
            </w:r>
          </w:p>
          <w:p w14:paraId="316BC5EE" w14:textId="77777777" w:rsidR="0055330C" w:rsidRDefault="00000000">
            <w:pPr>
              <w:pStyle w:val="TableParagraph"/>
              <w:numPr>
                <w:ilvl w:val="1"/>
                <w:numId w:val="8"/>
              </w:numPr>
              <w:tabs>
                <w:tab w:val="left" w:pos="2017"/>
                <w:tab w:val="left" w:pos="2019"/>
              </w:tabs>
              <w:spacing w:line="258" w:lineRule="exact"/>
              <w:ind w:hanging="415"/>
              <w:rPr>
                <w:sz w:val="21"/>
              </w:rPr>
            </w:pPr>
            <w:r>
              <w:rPr>
                <w:sz w:val="21"/>
              </w:rPr>
              <w:t>Face to</w:t>
            </w:r>
            <w:r>
              <w:rPr>
                <w:spacing w:val="7"/>
                <w:sz w:val="21"/>
              </w:rPr>
              <w:t xml:space="preserve"> </w:t>
            </w:r>
            <w:r>
              <w:rPr>
                <w:sz w:val="21"/>
              </w:rPr>
              <w:t>Face</w:t>
            </w:r>
          </w:p>
          <w:p w14:paraId="0E951B4C" w14:textId="77777777" w:rsidR="0055330C" w:rsidRDefault="00000000">
            <w:pPr>
              <w:pStyle w:val="TableParagraph"/>
              <w:numPr>
                <w:ilvl w:val="1"/>
                <w:numId w:val="8"/>
              </w:numPr>
              <w:tabs>
                <w:tab w:val="left" w:pos="2018"/>
                <w:tab w:val="left" w:pos="2019"/>
              </w:tabs>
              <w:spacing w:before="47"/>
              <w:ind w:hanging="415"/>
              <w:rPr>
                <w:sz w:val="21"/>
              </w:rPr>
            </w:pPr>
            <w:r>
              <w:rPr>
                <w:sz w:val="21"/>
              </w:rPr>
              <w:t>Reactivation</w:t>
            </w:r>
          </w:p>
          <w:p w14:paraId="0944F24D" w14:textId="77777777" w:rsidR="0055330C" w:rsidRDefault="00000000">
            <w:pPr>
              <w:pStyle w:val="TableParagraph"/>
              <w:numPr>
                <w:ilvl w:val="1"/>
                <w:numId w:val="8"/>
              </w:numPr>
              <w:tabs>
                <w:tab w:val="left" w:pos="2019"/>
                <w:tab w:val="left" w:pos="2020"/>
              </w:tabs>
              <w:spacing w:before="52"/>
              <w:ind w:left="2019" w:hanging="416"/>
              <w:rPr>
                <w:sz w:val="21"/>
              </w:rPr>
            </w:pPr>
            <w:r>
              <w:rPr>
                <w:w w:val="105"/>
                <w:sz w:val="21"/>
              </w:rPr>
              <w:t>Leads</w:t>
            </w:r>
            <w:r>
              <w:rPr>
                <w:spacing w:val="22"/>
                <w:w w:val="105"/>
                <w:sz w:val="21"/>
              </w:rPr>
              <w:t xml:space="preserve"> </w:t>
            </w:r>
            <w:r>
              <w:rPr>
                <w:w w:val="105"/>
                <w:sz w:val="21"/>
              </w:rPr>
              <w:t>communication</w:t>
            </w:r>
          </w:p>
        </w:tc>
      </w:tr>
    </w:tbl>
    <w:p w14:paraId="4A0ADE53" w14:textId="77777777" w:rsidR="0055330C" w:rsidRDefault="0055330C">
      <w:pPr>
        <w:rPr>
          <w:sz w:val="21"/>
        </w:rPr>
        <w:sectPr w:rsidR="0055330C" w:rsidSect="005007AD">
          <w:pgSz w:w="16840" w:h="11910" w:orient="landscape"/>
          <w:pgMar w:top="1180" w:right="1180" w:bottom="280" w:left="1440" w:header="712" w:footer="0" w:gutter="0"/>
          <w:cols w:space="720"/>
        </w:sectPr>
      </w:pPr>
    </w:p>
    <w:p w14:paraId="1DFFFB15" w14:textId="77777777" w:rsidR="0055330C" w:rsidRDefault="0055330C">
      <w:pPr>
        <w:spacing w:before="6" w:after="1"/>
        <w:rPr>
          <w:rFonts w:ascii="Times New Roman"/>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12001"/>
      </w:tblGrid>
      <w:tr w:rsidR="0055330C" w14:paraId="0BC05AA1" w14:textId="77777777">
        <w:trPr>
          <w:trHeight w:val="4888"/>
        </w:trPr>
        <w:tc>
          <w:tcPr>
            <w:tcW w:w="1980" w:type="dxa"/>
            <w:tcBorders>
              <w:left w:val="single" w:sz="4" w:space="0" w:color="000000"/>
            </w:tcBorders>
          </w:tcPr>
          <w:p w14:paraId="005021CF" w14:textId="77777777" w:rsidR="0055330C" w:rsidRDefault="0055330C">
            <w:pPr>
              <w:pStyle w:val="TableParagraph"/>
              <w:ind w:left="0"/>
              <w:rPr>
                <w:rFonts w:ascii="Times New Roman"/>
                <w:sz w:val="20"/>
              </w:rPr>
            </w:pPr>
          </w:p>
        </w:tc>
        <w:tc>
          <w:tcPr>
            <w:tcW w:w="12001" w:type="dxa"/>
            <w:tcBorders>
              <w:right w:val="single" w:sz="4" w:space="0" w:color="000000"/>
            </w:tcBorders>
          </w:tcPr>
          <w:p w14:paraId="1D2DB920" w14:textId="77777777" w:rsidR="0055330C" w:rsidRDefault="00000000">
            <w:pPr>
              <w:pStyle w:val="TableParagraph"/>
              <w:numPr>
                <w:ilvl w:val="0"/>
                <w:numId w:val="7"/>
              </w:numPr>
              <w:tabs>
                <w:tab w:val="left" w:pos="2018"/>
                <w:tab w:val="left" w:pos="2019"/>
              </w:tabs>
              <w:spacing w:before="15"/>
              <w:rPr>
                <w:sz w:val="21"/>
              </w:rPr>
            </w:pPr>
            <w:r>
              <w:rPr>
                <w:sz w:val="21"/>
              </w:rPr>
              <w:t>Emergency Fundraising</w:t>
            </w:r>
            <w:r>
              <w:rPr>
                <w:spacing w:val="47"/>
                <w:sz w:val="21"/>
              </w:rPr>
              <w:t xml:space="preserve"> </w:t>
            </w:r>
            <w:r>
              <w:rPr>
                <w:sz w:val="21"/>
              </w:rPr>
              <w:t>Appeals</w:t>
            </w:r>
          </w:p>
          <w:p w14:paraId="7E23B992" w14:textId="77777777" w:rsidR="0055330C" w:rsidRDefault="00000000">
            <w:pPr>
              <w:pStyle w:val="TableParagraph"/>
              <w:numPr>
                <w:ilvl w:val="0"/>
                <w:numId w:val="7"/>
              </w:numPr>
              <w:tabs>
                <w:tab w:val="left" w:pos="2019"/>
                <w:tab w:val="left" w:pos="2020"/>
              </w:tabs>
              <w:spacing w:before="56"/>
              <w:ind w:left="2019" w:hanging="416"/>
              <w:rPr>
                <w:sz w:val="21"/>
              </w:rPr>
            </w:pPr>
            <w:r>
              <w:rPr>
                <w:sz w:val="21"/>
              </w:rPr>
              <w:t>Legacy</w:t>
            </w:r>
          </w:p>
          <w:p w14:paraId="3B930010" w14:textId="77777777" w:rsidR="0055330C" w:rsidRDefault="00000000">
            <w:pPr>
              <w:pStyle w:val="TableParagraph"/>
              <w:numPr>
                <w:ilvl w:val="0"/>
                <w:numId w:val="7"/>
              </w:numPr>
              <w:tabs>
                <w:tab w:val="left" w:pos="2018"/>
                <w:tab w:val="left" w:pos="2020"/>
              </w:tabs>
              <w:spacing w:before="55"/>
              <w:ind w:left="2019" w:hanging="416"/>
              <w:rPr>
                <w:sz w:val="21"/>
              </w:rPr>
            </w:pPr>
            <w:r>
              <w:rPr>
                <w:sz w:val="21"/>
              </w:rPr>
              <w:t>Digital paid and social channels (Leads and</w:t>
            </w:r>
            <w:r>
              <w:rPr>
                <w:spacing w:val="17"/>
                <w:sz w:val="21"/>
              </w:rPr>
              <w:t xml:space="preserve"> </w:t>
            </w:r>
            <w:r>
              <w:rPr>
                <w:sz w:val="21"/>
              </w:rPr>
              <w:t>PPC)</w:t>
            </w:r>
          </w:p>
          <w:p w14:paraId="1176408E" w14:textId="77777777" w:rsidR="0055330C" w:rsidRDefault="00000000">
            <w:pPr>
              <w:pStyle w:val="TableParagraph"/>
              <w:numPr>
                <w:ilvl w:val="0"/>
                <w:numId w:val="6"/>
              </w:numPr>
              <w:tabs>
                <w:tab w:val="left" w:pos="481"/>
                <w:tab w:val="left" w:pos="482"/>
              </w:tabs>
              <w:spacing w:before="55" w:line="292" w:lineRule="auto"/>
              <w:ind w:right="164" w:hanging="442"/>
              <w:rPr>
                <w:sz w:val="21"/>
              </w:rPr>
            </w:pPr>
            <w:r>
              <w:rPr>
                <w:sz w:val="21"/>
              </w:rPr>
              <w:t>Management and monitoring of all acquisition KPls, both current and long term views, to ensure targets are being achieved, making changes to operations where required and ensuring highest degree of GDPR</w:t>
            </w:r>
            <w:r>
              <w:rPr>
                <w:spacing w:val="10"/>
                <w:sz w:val="21"/>
              </w:rPr>
              <w:t xml:space="preserve"> </w:t>
            </w:r>
            <w:r>
              <w:rPr>
                <w:sz w:val="21"/>
              </w:rPr>
              <w:t>compliance</w:t>
            </w:r>
          </w:p>
          <w:p w14:paraId="009739CB" w14:textId="77777777" w:rsidR="0055330C" w:rsidRDefault="00000000">
            <w:pPr>
              <w:pStyle w:val="TableParagraph"/>
              <w:numPr>
                <w:ilvl w:val="0"/>
                <w:numId w:val="6"/>
              </w:numPr>
              <w:tabs>
                <w:tab w:val="left" w:pos="481"/>
                <w:tab w:val="left" w:pos="482"/>
              </w:tabs>
              <w:spacing w:line="252" w:lineRule="exact"/>
              <w:ind w:left="481" w:hanging="439"/>
              <w:rPr>
                <w:sz w:val="21"/>
              </w:rPr>
            </w:pPr>
            <w:r>
              <w:rPr>
                <w:sz w:val="21"/>
              </w:rPr>
              <w:t>Deliver agency training for new acquisition campaigns as and when</w:t>
            </w:r>
            <w:r>
              <w:rPr>
                <w:spacing w:val="-18"/>
                <w:sz w:val="21"/>
              </w:rPr>
              <w:t xml:space="preserve"> </w:t>
            </w:r>
            <w:r>
              <w:rPr>
                <w:sz w:val="21"/>
              </w:rPr>
              <w:t>required</w:t>
            </w:r>
          </w:p>
          <w:p w14:paraId="4490C8AF" w14:textId="77777777" w:rsidR="0055330C" w:rsidRDefault="00000000">
            <w:pPr>
              <w:pStyle w:val="TableParagraph"/>
              <w:numPr>
                <w:ilvl w:val="0"/>
                <w:numId w:val="6"/>
              </w:numPr>
              <w:tabs>
                <w:tab w:val="left" w:pos="481"/>
                <w:tab w:val="left" w:pos="482"/>
              </w:tabs>
              <w:spacing w:before="55" w:line="285" w:lineRule="auto"/>
              <w:ind w:left="479" w:right="559" w:hanging="436"/>
              <w:rPr>
                <w:sz w:val="21"/>
              </w:rPr>
            </w:pPr>
            <w:r>
              <w:rPr>
                <w:w w:val="105"/>
                <w:sz w:val="21"/>
              </w:rPr>
              <w:t>Brief Data and Insights Specialist to insights requirement for effective campaign planning and review, ensuring that all campaigns are planned with data-driven and audience-centric understanding of best</w:t>
            </w:r>
            <w:r>
              <w:rPr>
                <w:spacing w:val="15"/>
                <w:w w:val="105"/>
                <w:sz w:val="21"/>
              </w:rPr>
              <w:t xml:space="preserve"> </w:t>
            </w:r>
            <w:r>
              <w:rPr>
                <w:w w:val="105"/>
                <w:sz w:val="21"/>
              </w:rPr>
              <w:t>performance</w:t>
            </w:r>
          </w:p>
          <w:p w14:paraId="016FB44D" w14:textId="77777777" w:rsidR="0055330C" w:rsidRDefault="00000000">
            <w:pPr>
              <w:pStyle w:val="TableParagraph"/>
              <w:numPr>
                <w:ilvl w:val="0"/>
                <w:numId w:val="6"/>
              </w:numPr>
              <w:tabs>
                <w:tab w:val="left" w:pos="485"/>
                <w:tab w:val="left" w:pos="486"/>
              </w:tabs>
              <w:spacing w:before="7" w:line="290" w:lineRule="auto"/>
              <w:ind w:left="481" w:right="533" w:hanging="439"/>
              <w:rPr>
                <w:sz w:val="21"/>
              </w:rPr>
            </w:pPr>
            <w:r>
              <w:rPr>
                <w:w w:val="105"/>
                <w:sz w:val="21"/>
              </w:rPr>
              <w:t>Work with Data and Insights Specialist to define and agree segmentation data sets for any required data from CRM needed for</w:t>
            </w:r>
            <w:r>
              <w:rPr>
                <w:spacing w:val="17"/>
                <w:w w:val="105"/>
                <w:sz w:val="21"/>
              </w:rPr>
              <w:t xml:space="preserve"> </w:t>
            </w:r>
            <w:r>
              <w:rPr>
                <w:w w:val="105"/>
                <w:sz w:val="21"/>
              </w:rPr>
              <w:t>campaigns</w:t>
            </w:r>
          </w:p>
          <w:p w14:paraId="35649AEE" w14:textId="77777777" w:rsidR="0055330C" w:rsidRDefault="00000000">
            <w:pPr>
              <w:pStyle w:val="TableParagraph"/>
              <w:numPr>
                <w:ilvl w:val="0"/>
                <w:numId w:val="6"/>
              </w:numPr>
              <w:tabs>
                <w:tab w:val="left" w:pos="485"/>
                <w:tab w:val="left" w:pos="486"/>
              </w:tabs>
              <w:spacing w:before="7" w:line="295" w:lineRule="auto"/>
              <w:ind w:right="490" w:hanging="442"/>
              <w:rPr>
                <w:sz w:val="21"/>
              </w:rPr>
            </w:pPr>
            <w:r>
              <w:rPr>
                <w:w w:val="105"/>
                <w:sz w:val="21"/>
              </w:rPr>
              <w:t>Working with Retention Manager, HoF and Communications Manager, support launch of acquisition fundraising activities for all Emergency appeals as well as overall key messaging for</w:t>
            </w:r>
            <w:r>
              <w:rPr>
                <w:spacing w:val="-13"/>
                <w:w w:val="105"/>
                <w:sz w:val="21"/>
              </w:rPr>
              <w:t xml:space="preserve"> </w:t>
            </w:r>
            <w:r>
              <w:rPr>
                <w:w w:val="105"/>
                <w:sz w:val="21"/>
              </w:rPr>
              <w:t>appeal</w:t>
            </w:r>
          </w:p>
          <w:p w14:paraId="6F9875B3" w14:textId="77777777" w:rsidR="0055330C" w:rsidRDefault="00000000">
            <w:pPr>
              <w:pStyle w:val="TableParagraph"/>
              <w:numPr>
                <w:ilvl w:val="0"/>
                <w:numId w:val="6"/>
              </w:numPr>
              <w:tabs>
                <w:tab w:val="left" w:pos="485"/>
                <w:tab w:val="left" w:pos="486"/>
              </w:tabs>
              <w:spacing w:line="295" w:lineRule="auto"/>
              <w:ind w:left="485" w:right="185" w:hanging="443"/>
              <w:rPr>
                <w:sz w:val="21"/>
              </w:rPr>
            </w:pPr>
            <w:r>
              <w:rPr>
                <w:w w:val="105"/>
                <w:sz w:val="21"/>
              </w:rPr>
              <w:t>Working with HoF and Retention Manager, scope and develop new products to test to market, to better stimulate supporter response, including Regular Giving and Legacy</w:t>
            </w:r>
            <w:r>
              <w:rPr>
                <w:spacing w:val="-33"/>
                <w:w w:val="105"/>
                <w:sz w:val="21"/>
              </w:rPr>
              <w:t xml:space="preserve"> </w:t>
            </w:r>
            <w:r>
              <w:rPr>
                <w:w w:val="105"/>
                <w:sz w:val="21"/>
              </w:rPr>
              <w:t>propositions</w:t>
            </w:r>
          </w:p>
          <w:p w14:paraId="46E84625" w14:textId="77777777" w:rsidR="0055330C" w:rsidRDefault="00000000">
            <w:pPr>
              <w:pStyle w:val="TableParagraph"/>
              <w:numPr>
                <w:ilvl w:val="0"/>
                <w:numId w:val="6"/>
              </w:numPr>
              <w:tabs>
                <w:tab w:val="left" w:pos="482"/>
                <w:tab w:val="left" w:pos="483"/>
              </w:tabs>
              <w:spacing w:line="248" w:lineRule="exact"/>
              <w:ind w:left="482" w:hanging="440"/>
              <w:rPr>
                <w:sz w:val="21"/>
              </w:rPr>
            </w:pPr>
            <w:r>
              <w:rPr>
                <w:w w:val="105"/>
                <w:sz w:val="21"/>
              </w:rPr>
              <w:t>Supporting Head of Fundraising with scoping new acquisition channels for inclusion into Fundraising</w:t>
            </w:r>
            <w:r>
              <w:rPr>
                <w:spacing w:val="46"/>
                <w:w w:val="105"/>
                <w:sz w:val="21"/>
              </w:rPr>
              <w:t xml:space="preserve"> </w:t>
            </w:r>
            <w:r>
              <w:rPr>
                <w:w w:val="105"/>
                <w:sz w:val="21"/>
              </w:rPr>
              <w:t>programme,</w:t>
            </w:r>
          </w:p>
          <w:p w14:paraId="57D7C57E" w14:textId="77777777" w:rsidR="0055330C" w:rsidRDefault="00000000">
            <w:pPr>
              <w:pStyle w:val="TableParagraph"/>
              <w:spacing w:before="44"/>
              <w:ind w:left="485"/>
              <w:rPr>
                <w:sz w:val="21"/>
              </w:rPr>
            </w:pPr>
            <w:r>
              <w:rPr>
                <w:w w:val="105"/>
                <w:sz w:val="21"/>
              </w:rPr>
              <w:t>such as outdoor/SMS etc.</w:t>
            </w:r>
          </w:p>
        </w:tc>
      </w:tr>
      <w:tr w:rsidR="0055330C" w14:paraId="704E39E7" w14:textId="77777777">
        <w:trPr>
          <w:trHeight w:val="2444"/>
        </w:trPr>
        <w:tc>
          <w:tcPr>
            <w:tcW w:w="1980" w:type="dxa"/>
            <w:tcBorders>
              <w:left w:val="single" w:sz="4" w:space="0" w:color="000000"/>
              <w:bottom w:val="single" w:sz="4" w:space="0" w:color="000000"/>
            </w:tcBorders>
          </w:tcPr>
          <w:p w14:paraId="6D617C85" w14:textId="77777777" w:rsidR="0055330C" w:rsidRDefault="00000000">
            <w:pPr>
              <w:pStyle w:val="TableParagraph"/>
              <w:spacing w:before="31" w:line="307" w:lineRule="auto"/>
              <w:ind w:left="116" w:right="130" w:hanging="2"/>
              <w:rPr>
                <w:b/>
                <w:sz w:val="20"/>
              </w:rPr>
            </w:pPr>
            <w:r>
              <w:rPr>
                <w:b/>
                <w:w w:val="105"/>
                <w:sz w:val="20"/>
              </w:rPr>
              <w:t>Communications and content gathering</w:t>
            </w:r>
          </w:p>
        </w:tc>
        <w:tc>
          <w:tcPr>
            <w:tcW w:w="12001" w:type="dxa"/>
            <w:tcBorders>
              <w:bottom w:val="single" w:sz="4" w:space="0" w:color="000000"/>
              <w:right w:val="single" w:sz="4" w:space="0" w:color="000000"/>
            </w:tcBorders>
          </w:tcPr>
          <w:p w14:paraId="4FF2F6B2" w14:textId="77777777" w:rsidR="0055330C" w:rsidRDefault="00000000">
            <w:pPr>
              <w:pStyle w:val="TableParagraph"/>
              <w:numPr>
                <w:ilvl w:val="0"/>
                <w:numId w:val="5"/>
              </w:numPr>
              <w:tabs>
                <w:tab w:val="left" w:pos="481"/>
                <w:tab w:val="left" w:pos="482"/>
              </w:tabs>
              <w:spacing w:before="17" w:line="295" w:lineRule="auto"/>
              <w:ind w:right="429" w:hanging="442"/>
              <w:rPr>
                <w:sz w:val="21"/>
              </w:rPr>
            </w:pPr>
            <w:r>
              <w:rPr>
                <w:w w:val="105"/>
                <w:sz w:val="21"/>
              </w:rPr>
              <w:t>Creating and developing all communications for acquisition fundraising campaigns, including sourcing engaging and relevant content and writing copy for offline campaigns, as well as digital paid landing page</w:t>
            </w:r>
            <w:r>
              <w:rPr>
                <w:spacing w:val="18"/>
                <w:w w:val="105"/>
                <w:sz w:val="21"/>
              </w:rPr>
              <w:t xml:space="preserve"> </w:t>
            </w:r>
            <w:r>
              <w:rPr>
                <w:w w:val="105"/>
                <w:sz w:val="21"/>
              </w:rPr>
              <w:t>copy</w:t>
            </w:r>
          </w:p>
          <w:p w14:paraId="36EEF896" w14:textId="77777777" w:rsidR="0055330C" w:rsidRDefault="00000000">
            <w:pPr>
              <w:pStyle w:val="TableParagraph"/>
              <w:numPr>
                <w:ilvl w:val="0"/>
                <w:numId w:val="5"/>
              </w:numPr>
              <w:tabs>
                <w:tab w:val="left" w:pos="481"/>
                <w:tab w:val="left" w:pos="482"/>
              </w:tabs>
              <w:spacing w:line="297" w:lineRule="auto"/>
              <w:ind w:left="483" w:right="206" w:hanging="440"/>
              <w:rPr>
                <w:sz w:val="21"/>
              </w:rPr>
            </w:pPr>
            <w:r>
              <w:rPr>
                <w:w w:val="105"/>
                <w:sz w:val="21"/>
              </w:rPr>
              <w:t>Developing Legacy marketing materials for inclusion into the Fundraising department, and actively leading on the marketing of Legacy to audiences</w:t>
            </w:r>
            <w:r>
              <w:rPr>
                <w:spacing w:val="-12"/>
                <w:w w:val="105"/>
                <w:sz w:val="21"/>
              </w:rPr>
              <w:t xml:space="preserve"> </w:t>
            </w:r>
            <w:r>
              <w:rPr>
                <w:w w:val="105"/>
                <w:sz w:val="21"/>
              </w:rPr>
              <w:t>identified</w:t>
            </w:r>
          </w:p>
          <w:p w14:paraId="08C357E1" w14:textId="77777777" w:rsidR="0055330C" w:rsidRDefault="00000000">
            <w:pPr>
              <w:pStyle w:val="TableParagraph"/>
              <w:numPr>
                <w:ilvl w:val="0"/>
                <w:numId w:val="5"/>
              </w:numPr>
              <w:tabs>
                <w:tab w:val="left" w:pos="481"/>
                <w:tab w:val="left" w:pos="482"/>
              </w:tabs>
              <w:spacing w:line="240" w:lineRule="exact"/>
              <w:ind w:left="481"/>
              <w:rPr>
                <w:sz w:val="21"/>
              </w:rPr>
            </w:pPr>
            <w:r>
              <w:rPr>
                <w:sz w:val="21"/>
              </w:rPr>
              <w:t>Developing</w:t>
            </w:r>
            <w:r>
              <w:rPr>
                <w:spacing w:val="55"/>
                <w:sz w:val="21"/>
              </w:rPr>
              <w:t xml:space="preserve"> </w:t>
            </w:r>
            <w:r>
              <w:rPr>
                <w:sz w:val="21"/>
              </w:rPr>
              <w:t>new</w:t>
            </w:r>
            <w:r>
              <w:rPr>
                <w:spacing w:val="41"/>
                <w:sz w:val="21"/>
              </w:rPr>
              <w:t xml:space="preserve"> </w:t>
            </w:r>
            <w:r>
              <w:rPr>
                <w:sz w:val="21"/>
              </w:rPr>
              <w:t>starter</w:t>
            </w:r>
            <w:r>
              <w:rPr>
                <w:spacing w:val="9"/>
                <w:sz w:val="21"/>
              </w:rPr>
              <w:t xml:space="preserve"> </w:t>
            </w:r>
            <w:r>
              <w:rPr>
                <w:sz w:val="21"/>
              </w:rPr>
              <w:t>journeys  for</w:t>
            </w:r>
            <w:r>
              <w:rPr>
                <w:spacing w:val="50"/>
                <w:sz w:val="21"/>
              </w:rPr>
              <w:t xml:space="preserve"> </w:t>
            </w:r>
            <w:r>
              <w:rPr>
                <w:sz w:val="21"/>
              </w:rPr>
              <w:t>all</w:t>
            </w:r>
            <w:r>
              <w:rPr>
                <w:spacing w:val="12"/>
                <w:sz w:val="21"/>
              </w:rPr>
              <w:t xml:space="preserve"> </w:t>
            </w:r>
            <w:r>
              <w:rPr>
                <w:sz w:val="21"/>
              </w:rPr>
              <w:t>new</w:t>
            </w:r>
            <w:r>
              <w:rPr>
                <w:spacing w:val="25"/>
                <w:sz w:val="21"/>
              </w:rPr>
              <w:t xml:space="preserve"> </w:t>
            </w:r>
            <w:r>
              <w:rPr>
                <w:sz w:val="21"/>
              </w:rPr>
              <w:t>givers</w:t>
            </w:r>
            <w:r>
              <w:rPr>
                <w:spacing w:val="34"/>
                <w:sz w:val="21"/>
              </w:rPr>
              <w:t xml:space="preserve"> </w:t>
            </w:r>
            <w:r>
              <w:rPr>
                <w:sz w:val="21"/>
              </w:rPr>
              <w:t>in</w:t>
            </w:r>
            <w:r>
              <w:rPr>
                <w:spacing w:val="48"/>
                <w:sz w:val="21"/>
              </w:rPr>
              <w:t xml:space="preserve"> </w:t>
            </w:r>
            <w:r>
              <w:rPr>
                <w:sz w:val="21"/>
              </w:rPr>
              <w:t>their</w:t>
            </w:r>
            <w:r>
              <w:rPr>
                <w:spacing w:val="34"/>
                <w:sz w:val="21"/>
              </w:rPr>
              <w:t xml:space="preserve"> </w:t>
            </w:r>
            <w:r>
              <w:rPr>
                <w:sz w:val="21"/>
              </w:rPr>
              <w:t>first</w:t>
            </w:r>
            <w:r>
              <w:rPr>
                <w:spacing w:val="34"/>
                <w:sz w:val="21"/>
              </w:rPr>
              <w:t xml:space="preserve"> </w:t>
            </w:r>
            <w:r>
              <w:rPr>
                <w:sz w:val="21"/>
              </w:rPr>
              <w:t>6</w:t>
            </w:r>
            <w:r>
              <w:rPr>
                <w:spacing w:val="32"/>
                <w:sz w:val="21"/>
              </w:rPr>
              <w:t xml:space="preserve"> </w:t>
            </w:r>
            <w:r>
              <w:rPr>
                <w:sz w:val="21"/>
              </w:rPr>
              <w:t>months</w:t>
            </w:r>
            <w:r>
              <w:rPr>
                <w:spacing w:val="35"/>
                <w:sz w:val="21"/>
              </w:rPr>
              <w:t xml:space="preserve"> </w:t>
            </w:r>
            <w:r>
              <w:rPr>
                <w:sz w:val="21"/>
              </w:rPr>
              <w:t>of</w:t>
            </w:r>
            <w:r>
              <w:rPr>
                <w:spacing w:val="38"/>
                <w:sz w:val="21"/>
              </w:rPr>
              <w:t xml:space="preserve"> </w:t>
            </w:r>
            <w:r>
              <w:rPr>
                <w:sz w:val="21"/>
              </w:rPr>
              <w:t>giving,</w:t>
            </w:r>
            <w:r>
              <w:rPr>
                <w:spacing w:val="40"/>
                <w:sz w:val="21"/>
              </w:rPr>
              <w:t xml:space="preserve"> </w:t>
            </w:r>
            <w:r>
              <w:rPr>
                <w:sz w:val="21"/>
              </w:rPr>
              <w:t>using</w:t>
            </w:r>
            <w:r>
              <w:rPr>
                <w:spacing w:val="22"/>
                <w:sz w:val="21"/>
              </w:rPr>
              <w:t xml:space="preserve"> </w:t>
            </w:r>
            <w:r>
              <w:rPr>
                <w:sz w:val="21"/>
              </w:rPr>
              <w:t>supporter</w:t>
            </w:r>
            <w:r>
              <w:rPr>
                <w:spacing w:val="47"/>
                <w:sz w:val="21"/>
              </w:rPr>
              <w:t xml:space="preserve"> </w:t>
            </w:r>
            <w:r>
              <w:rPr>
                <w:sz w:val="21"/>
              </w:rPr>
              <w:t>insights</w:t>
            </w:r>
            <w:r>
              <w:rPr>
                <w:spacing w:val="41"/>
                <w:sz w:val="21"/>
              </w:rPr>
              <w:t xml:space="preserve"> </w:t>
            </w:r>
            <w:r>
              <w:rPr>
                <w:sz w:val="21"/>
              </w:rPr>
              <w:t>to</w:t>
            </w:r>
          </w:p>
          <w:p w14:paraId="490F0DDB" w14:textId="77777777" w:rsidR="0055330C" w:rsidRDefault="00000000">
            <w:pPr>
              <w:pStyle w:val="TableParagraph"/>
              <w:spacing w:before="53"/>
              <w:rPr>
                <w:sz w:val="21"/>
              </w:rPr>
            </w:pPr>
            <w:r>
              <w:rPr>
                <w:w w:val="105"/>
                <w:sz w:val="21"/>
              </w:rPr>
              <w:t>align communications to interests and stemming attrition</w:t>
            </w:r>
          </w:p>
          <w:p w14:paraId="61937076" w14:textId="77777777" w:rsidR="0055330C" w:rsidRDefault="00000000">
            <w:pPr>
              <w:pStyle w:val="TableParagraph"/>
              <w:numPr>
                <w:ilvl w:val="0"/>
                <w:numId w:val="5"/>
              </w:numPr>
              <w:tabs>
                <w:tab w:val="left" w:pos="485"/>
                <w:tab w:val="left" w:pos="486"/>
              </w:tabs>
              <w:spacing w:before="12" w:line="302" w:lineRule="exact"/>
              <w:ind w:left="483" w:right="504" w:hanging="440"/>
              <w:rPr>
                <w:sz w:val="21"/>
              </w:rPr>
            </w:pPr>
            <w:r>
              <w:rPr>
                <w:w w:val="105"/>
                <w:sz w:val="21"/>
              </w:rPr>
              <w:t>Work with Federation colleagues to curate engaging content to support acquisition marketing campaigns, with key target audiences and segmentation in</w:t>
            </w:r>
            <w:r>
              <w:rPr>
                <w:spacing w:val="21"/>
                <w:w w:val="105"/>
                <w:sz w:val="21"/>
              </w:rPr>
              <w:t xml:space="preserve"> </w:t>
            </w:r>
            <w:r>
              <w:rPr>
                <w:w w:val="105"/>
                <w:sz w:val="21"/>
              </w:rPr>
              <w:t>mind</w:t>
            </w:r>
          </w:p>
        </w:tc>
      </w:tr>
      <w:tr w:rsidR="0055330C" w14:paraId="5473EF38" w14:textId="77777777">
        <w:trPr>
          <w:trHeight w:val="1525"/>
        </w:trPr>
        <w:tc>
          <w:tcPr>
            <w:tcW w:w="1980" w:type="dxa"/>
            <w:tcBorders>
              <w:top w:val="single" w:sz="4" w:space="0" w:color="000000"/>
              <w:left w:val="single" w:sz="4" w:space="0" w:color="000000"/>
            </w:tcBorders>
          </w:tcPr>
          <w:p w14:paraId="0410475C" w14:textId="77777777" w:rsidR="0055330C" w:rsidRDefault="00000000">
            <w:pPr>
              <w:pStyle w:val="TableParagraph"/>
              <w:spacing w:before="28" w:line="316" w:lineRule="auto"/>
              <w:ind w:left="119"/>
              <w:rPr>
                <w:b/>
                <w:sz w:val="20"/>
              </w:rPr>
            </w:pPr>
            <w:r>
              <w:rPr>
                <w:b/>
                <w:w w:val="105"/>
                <w:sz w:val="20"/>
              </w:rPr>
              <w:t>Analysis and Reporting</w:t>
            </w:r>
          </w:p>
        </w:tc>
        <w:tc>
          <w:tcPr>
            <w:tcW w:w="12001" w:type="dxa"/>
            <w:tcBorders>
              <w:top w:val="single" w:sz="4" w:space="0" w:color="000000"/>
              <w:right w:val="single" w:sz="4" w:space="0" w:color="000000"/>
            </w:tcBorders>
          </w:tcPr>
          <w:p w14:paraId="7F8E5262" w14:textId="77777777" w:rsidR="0055330C" w:rsidRDefault="00000000">
            <w:pPr>
              <w:pStyle w:val="TableParagraph"/>
              <w:numPr>
                <w:ilvl w:val="0"/>
                <w:numId w:val="4"/>
              </w:numPr>
              <w:tabs>
                <w:tab w:val="left" w:pos="470"/>
                <w:tab w:val="left" w:pos="472"/>
              </w:tabs>
              <w:spacing w:before="9" w:line="288" w:lineRule="auto"/>
              <w:ind w:right="334" w:hanging="364"/>
              <w:rPr>
                <w:sz w:val="21"/>
              </w:rPr>
            </w:pPr>
            <w:r>
              <w:rPr>
                <w:w w:val="105"/>
                <w:sz w:val="21"/>
              </w:rPr>
              <w:t>Ensuring campaign reviews are delivered for all acquisition channels and that recommendations are included in future planning, sharing results and insights with wider Fundraising</w:t>
            </w:r>
            <w:r>
              <w:rPr>
                <w:spacing w:val="34"/>
                <w:w w:val="105"/>
                <w:sz w:val="21"/>
              </w:rPr>
              <w:t xml:space="preserve"> </w:t>
            </w:r>
            <w:r>
              <w:rPr>
                <w:w w:val="105"/>
                <w:sz w:val="21"/>
              </w:rPr>
              <w:t>team</w:t>
            </w:r>
          </w:p>
          <w:p w14:paraId="11FB8220" w14:textId="77777777" w:rsidR="0055330C" w:rsidRDefault="00000000">
            <w:pPr>
              <w:pStyle w:val="TableParagraph"/>
              <w:numPr>
                <w:ilvl w:val="0"/>
                <w:numId w:val="4"/>
              </w:numPr>
              <w:tabs>
                <w:tab w:val="left" w:pos="475"/>
                <w:tab w:val="left" w:pos="476"/>
              </w:tabs>
              <w:spacing w:line="260" w:lineRule="exact"/>
              <w:ind w:left="475" w:hanging="372"/>
              <w:rPr>
                <w:sz w:val="21"/>
              </w:rPr>
            </w:pPr>
            <w:r>
              <w:rPr>
                <w:w w:val="105"/>
                <w:sz w:val="21"/>
              </w:rPr>
              <w:t>Working with the Data and Insights Specialist, conduct analysis and extract insights in campaign performance</w:t>
            </w:r>
            <w:r>
              <w:rPr>
                <w:spacing w:val="-3"/>
                <w:w w:val="105"/>
                <w:sz w:val="21"/>
              </w:rPr>
              <w:t xml:space="preserve"> </w:t>
            </w:r>
            <w:r>
              <w:rPr>
                <w:w w:val="105"/>
                <w:sz w:val="21"/>
              </w:rPr>
              <w:t>for</w:t>
            </w:r>
          </w:p>
          <w:p w14:paraId="78BBB74D" w14:textId="77777777" w:rsidR="0055330C" w:rsidRDefault="00000000">
            <w:pPr>
              <w:pStyle w:val="TableParagraph"/>
              <w:spacing w:before="13" w:line="290" w:lineRule="atLeast"/>
              <w:ind w:left="475" w:hanging="1"/>
              <w:rPr>
                <w:sz w:val="21"/>
              </w:rPr>
            </w:pPr>
            <w:r>
              <w:rPr>
                <w:w w:val="105"/>
                <w:sz w:val="21"/>
              </w:rPr>
              <w:t>effective future campaign planning and past campaign review, ensuring that all campaigns are planned with data­ driven and audience-centric understanding for best performance</w:t>
            </w:r>
          </w:p>
        </w:tc>
      </w:tr>
    </w:tbl>
    <w:p w14:paraId="7EAD270F" w14:textId="77777777" w:rsidR="0055330C" w:rsidRDefault="0055330C">
      <w:pPr>
        <w:spacing w:line="290" w:lineRule="atLeast"/>
        <w:rPr>
          <w:sz w:val="21"/>
        </w:rPr>
        <w:sectPr w:rsidR="0055330C" w:rsidSect="005007AD">
          <w:pgSz w:w="16840" w:h="11910" w:orient="landscape"/>
          <w:pgMar w:top="1180" w:right="1180" w:bottom="280" w:left="1440" w:header="712" w:footer="0" w:gutter="0"/>
          <w:cols w:space="720"/>
        </w:sectPr>
      </w:pPr>
    </w:p>
    <w:p w14:paraId="53C063FB" w14:textId="77777777" w:rsidR="0055330C" w:rsidRDefault="0055330C">
      <w:pPr>
        <w:spacing w:before="4"/>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001"/>
      </w:tblGrid>
      <w:tr w:rsidR="0055330C" w14:paraId="7B07C1AC" w14:textId="77777777">
        <w:trPr>
          <w:trHeight w:val="951"/>
        </w:trPr>
        <w:tc>
          <w:tcPr>
            <w:tcW w:w="1980" w:type="dxa"/>
          </w:tcPr>
          <w:p w14:paraId="16C88601" w14:textId="77777777" w:rsidR="0055330C" w:rsidRDefault="0055330C">
            <w:pPr>
              <w:pStyle w:val="TableParagraph"/>
              <w:ind w:left="0"/>
              <w:rPr>
                <w:rFonts w:ascii="Times New Roman"/>
                <w:sz w:val="20"/>
              </w:rPr>
            </w:pPr>
          </w:p>
        </w:tc>
        <w:tc>
          <w:tcPr>
            <w:tcW w:w="12001" w:type="dxa"/>
          </w:tcPr>
          <w:p w14:paraId="25C98478" w14:textId="77777777" w:rsidR="0055330C" w:rsidRDefault="00000000">
            <w:pPr>
              <w:pStyle w:val="TableParagraph"/>
              <w:numPr>
                <w:ilvl w:val="0"/>
                <w:numId w:val="3"/>
              </w:numPr>
              <w:tabs>
                <w:tab w:val="left" w:pos="480"/>
                <w:tab w:val="left" w:pos="481"/>
              </w:tabs>
              <w:spacing w:before="23"/>
              <w:rPr>
                <w:sz w:val="21"/>
              </w:rPr>
            </w:pPr>
            <w:r>
              <w:rPr>
                <w:w w:val="105"/>
                <w:sz w:val="21"/>
              </w:rPr>
              <w:t>Analyse existing supporter bases to identify Legacy audiences for marketing and future</w:t>
            </w:r>
            <w:r>
              <w:rPr>
                <w:spacing w:val="-33"/>
                <w:w w:val="105"/>
                <w:sz w:val="21"/>
              </w:rPr>
              <w:t xml:space="preserve"> </w:t>
            </w:r>
            <w:r>
              <w:rPr>
                <w:w w:val="105"/>
                <w:sz w:val="21"/>
              </w:rPr>
              <w:t>communications</w:t>
            </w:r>
          </w:p>
          <w:p w14:paraId="3EEBBA99" w14:textId="77777777" w:rsidR="0055330C" w:rsidRDefault="00000000">
            <w:pPr>
              <w:pStyle w:val="TableParagraph"/>
              <w:numPr>
                <w:ilvl w:val="0"/>
                <w:numId w:val="3"/>
              </w:numPr>
              <w:tabs>
                <w:tab w:val="left" w:pos="478"/>
                <w:tab w:val="left" w:pos="479"/>
              </w:tabs>
              <w:spacing w:before="55"/>
              <w:ind w:left="478" w:hanging="369"/>
              <w:rPr>
                <w:sz w:val="21"/>
              </w:rPr>
            </w:pPr>
            <w:r>
              <w:rPr>
                <w:w w:val="105"/>
                <w:sz w:val="21"/>
              </w:rPr>
              <w:t>Update team trackers monthly to ensure consistent KPI</w:t>
            </w:r>
            <w:r>
              <w:rPr>
                <w:spacing w:val="6"/>
                <w:w w:val="105"/>
                <w:sz w:val="21"/>
              </w:rPr>
              <w:t xml:space="preserve"> </w:t>
            </w:r>
            <w:r>
              <w:rPr>
                <w:w w:val="105"/>
                <w:sz w:val="21"/>
              </w:rPr>
              <w:t>monitoring</w:t>
            </w:r>
          </w:p>
          <w:p w14:paraId="7462529A" w14:textId="77777777" w:rsidR="0055330C" w:rsidRDefault="00000000">
            <w:pPr>
              <w:pStyle w:val="TableParagraph"/>
              <w:numPr>
                <w:ilvl w:val="0"/>
                <w:numId w:val="3"/>
              </w:numPr>
              <w:tabs>
                <w:tab w:val="left" w:pos="478"/>
                <w:tab w:val="left" w:pos="479"/>
              </w:tabs>
              <w:spacing w:before="56"/>
              <w:ind w:left="478" w:hanging="369"/>
              <w:rPr>
                <w:sz w:val="21"/>
              </w:rPr>
            </w:pPr>
            <w:r>
              <w:rPr>
                <w:w w:val="105"/>
                <w:sz w:val="21"/>
              </w:rPr>
              <w:t>Draft quarterly synopsis of retention performance and planning to support Board reporting</w:t>
            </w:r>
            <w:r>
              <w:rPr>
                <w:spacing w:val="-28"/>
                <w:w w:val="105"/>
                <w:sz w:val="21"/>
              </w:rPr>
              <w:t xml:space="preserve"> </w:t>
            </w:r>
            <w:r>
              <w:rPr>
                <w:w w:val="105"/>
                <w:sz w:val="21"/>
              </w:rPr>
              <w:t>requirements</w:t>
            </w:r>
          </w:p>
        </w:tc>
      </w:tr>
      <w:tr w:rsidR="0055330C" w14:paraId="3EB7DF78" w14:textId="77777777">
        <w:trPr>
          <w:trHeight w:val="927"/>
        </w:trPr>
        <w:tc>
          <w:tcPr>
            <w:tcW w:w="1980" w:type="dxa"/>
          </w:tcPr>
          <w:p w14:paraId="739DDAB1" w14:textId="77777777" w:rsidR="0055330C" w:rsidRDefault="00000000">
            <w:pPr>
              <w:pStyle w:val="TableParagraph"/>
              <w:spacing w:before="33"/>
              <w:ind w:left="124"/>
              <w:rPr>
                <w:b/>
                <w:sz w:val="20"/>
              </w:rPr>
            </w:pPr>
            <w:r>
              <w:rPr>
                <w:b/>
                <w:w w:val="110"/>
                <w:sz w:val="20"/>
              </w:rPr>
              <w:t>Website</w:t>
            </w:r>
          </w:p>
        </w:tc>
        <w:tc>
          <w:tcPr>
            <w:tcW w:w="12001" w:type="dxa"/>
          </w:tcPr>
          <w:p w14:paraId="09DBB835" w14:textId="77777777" w:rsidR="0055330C" w:rsidRDefault="00000000">
            <w:pPr>
              <w:pStyle w:val="TableParagraph"/>
              <w:numPr>
                <w:ilvl w:val="0"/>
                <w:numId w:val="2"/>
              </w:numPr>
              <w:tabs>
                <w:tab w:val="left" w:pos="482"/>
                <w:tab w:val="left" w:pos="483"/>
              </w:tabs>
              <w:spacing w:before="24" w:line="285" w:lineRule="auto"/>
              <w:ind w:right="505" w:hanging="372"/>
              <w:rPr>
                <w:sz w:val="21"/>
              </w:rPr>
            </w:pPr>
            <w:r>
              <w:rPr>
                <w:w w:val="105"/>
                <w:sz w:val="21"/>
              </w:rPr>
              <w:t>Working with the Digital Executive, overall responsibility for website fundraising performance and efficiency to ensure all communication on fundraising pages are align to core messaging and brand, as well as</w:t>
            </w:r>
            <w:r>
              <w:rPr>
                <w:spacing w:val="16"/>
                <w:w w:val="105"/>
                <w:sz w:val="21"/>
              </w:rPr>
              <w:t xml:space="preserve"> </w:t>
            </w:r>
            <w:r>
              <w:rPr>
                <w:w w:val="105"/>
                <w:sz w:val="21"/>
              </w:rPr>
              <w:t>ensuring</w:t>
            </w:r>
          </w:p>
          <w:p w14:paraId="4D367F20" w14:textId="77777777" w:rsidR="0055330C" w:rsidRDefault="00000000">
            <w:pPr>
              <w:pStyle w:val="TableParagraph"/>
              <w:spacing w:before="22"/>
              <w:rPr>
                <w:sz w:val="21"/>
              </w:rPr>
            </w:pPr>
            <w:r>
              <w:rPr>
                <w:w w:val="105"/>
                <w:sz w:val="21"/>
              </w:rPr>
              <w:t>website is performing optimally</w:t>
            </w:r>
          </w:p>
        </w:tc>
      </w:tr>
      <w:tr w:rsidR="0055330C" w14:paraId="66FA4C2C" w14:textId="77777777">
        <w:trPr>
          <w:trHeight w:val="470"/>
        </w:trPr>
        <w:tc>
          <w:tcPr>
            <w:tcW w:w="1980" w:type="dxa"/>
          </w:tcPr>
          <w:p w14:paraId="2F04C733" w14:textId="77777777" w:rsidR="0055330C" w:rsidRDefault="00000000">
            <w:pPr>
              <w:pStyle w:val="TableParagraph"/>
              <w:spacing w:before="33"/>
              <w:ind w:left="129"/>
              <w:rPr>
                <w:b/>
                <w:sz w:val="20"/>
              </w:rPr>
            </w:pPr>
            <w:r>
              <w:rPr>
                <w:b/>
                <w:w w:val="105"/>
                <w:sz w:val="20"/>
              </w:rPr>
              <w:t>Values</w:t>
            </w:r>
          </w:p>
        </w:tc>
        <w:tc>
          <w:tcPr>
            <w:tcW w:w="12001" w:type="dxa"/>
          </w:tcPr>
          <w:p w14:paraId="655AC9BD" w14:textId="77777777" w:rsidR="0055330C" w:rsidRDefault="00000000">
            <w:pPr>
              <w:pStyle w:val="TableParagraph"/>
              <w:numPr>
                <w:ilvl w:val="0"/>
                <w:numId w:val="1"/>
              </w:numPr>
              <w:tabs>
                <w:tab w:val="left" w:pos="490"/>
                <w:tab w:val="left" w:pos="491"/>
              </w:tabs>
              <w:spacing w:before="22"/>
              <w:ind w:hanging="441"/>
              <w:rPr>
                <w:sz w:val="21"/>
              </w:rPr>
            </w:pPr>
            <w:r>
              <w:rPr>
                <w:w w:val="105"/>
                <w:sz w:val="21"/>
              </w:rPr>
              <w:t>To espouse ActionAid's social justice and equality</w:t>
            </w:r>
            <w:r>
              <w:rPr>
                <w:spacing w:val="15"/>
                <w:w w:val="105"/>
                <w:sz w:val="21"/>
              </w:rPr>
              <w:t xml:space="preserve"> </w:t>
            </w:r>
            <w:r>
              <w:rPr>
                <w:w w:val="105"/>
                <w:sz w:val="21"/>
              </w:rPr>
              <w:t>values</w:t>
            </w:r>
          </w:p>
        </w:tc>
      </w:tr>
      <w:tr w:rsidR="0055330C" w14:paraId="2F3C2B74" w14:textId="77777777">
        <w:trPr>
          <w:trHeight w:val="312"/>
        </w:trPr>
        <w:tc>
          <w:tcPr>
            <w:tcW w:w="13981" w:type="dxa"/>
            <w:gridSpan w:val="2"/>
          </w:tcPr>
          <w:p w14:paraId="2B491F22" w14:textId="77777777" w:rsidR="0055330C" w:rsidRDefault="00000000">
            <w:pPr>
              <w:pStyle w:val="TableParagraph"/>
              <w:spacing w:before="33"/>
              <w:ind w:left="124"/>
              <w:rPr>
                <w:b/>
                <w:sz w:val="20"/>
              </w:rPr>
            </w:pPr>
            <w:r>
              <w:rPr>
                <w:b/>
                <w:w w:val="105"/>
                <w:sz w:val="20"/>
              </w:rPr>
              <w:t>Key Relationships</w:t>
            </w:r>
          </w:p>
        </w:tc>
      </w:tr>
      <w:tr w:rsidR="0055330C" w14:paraId="62D514BB" w14:textId="77777777">
        <w:trPr>
          <w:trHeight w:val="903"/>
        </w:trPr>
        <w:tc>
          <w:tcPr>
            <w:tcW w:w="1980" w:type="dxa"/>
          </w:tcPr>
          <w:p w14:paraId="325BBB49" w14:textId="77777777" w:rsidR="0055330C" w:rsidRDefault="00000000">
            <w:pPr>
              <w:pStyle w:val="TableParagraph"/>
              <w:spacing w:before="38"/>
              <w:ind w:left="125"/>
              <w:rPr>
                <w:b/>
                <w:sz w:val="20"/>
              </w:rPr>
            </w:pPr>
            <w:r>
              <w:rPr>
                <w:b/>
                <w:w w:val="105"/>
                <w:sz w:val="20"/>
              </w:rPr>
              <w:t>Internal</w:t>
            </w:r>
          </w:p>
        </w:tc>
        <w:tc>
          <w:tcPr>
            <w:tcW w:w="12001" w:type="dxa"/>
          </w:tcPr>
          <w:p w14:paraId="042CB790" w14:textId="77777777" w:rsidR="0055330C" w:rsidRDefault="00000000">
            <w:pPr>
              <w:pStyle w:val="TableParagraph"/>
              <w:spacing w:before="24"/>
              <w:ind w:left="128"/>
              <w:rPr>
                <w:sz w:val="21"/>
              </w:rPr>
            </w:pPr>
            <w:r>
              <w:rPr>
                <w:w w:val="105"/>
                <w:sz w:val="21"/>
              </w:rPr>
              <w:t>Member of the Fundraising team, working closely with all members of the Fundraising team, especially the Retention</w:t>
            </w:r>
          </w:p>
          <w:p w14:paraId="428AD333" w14:textId="77777777" w:rsidR="0055330C" w:rsidRDefault="00000000">
            <w:pPr>
              <w:pStyle w:val="TableParagraph"/>
              <w:spacing w:before="13" w:line="290" w:lineRule="atLeast"/>
              <w:ind w:left="126" w:right="398" w:firstLine="2"/>
              <w:rPr>
                <w:sz w:val="21"/>
              </w:rPr>
            </w:pPr>
            <w:r>
              <w:rPr>
                <w:w w:val="105"/>
                <w:sz w:val="21"/>
              </w:rPr>
              <w:t>Manager. This role also works closely with the Head of Fundraising to plan and deliver all income and retention targets as well as the Communication Manager to ensure alignment across all organisational messaging</w:t>
            </w:r>
          </w:p>
        </w:tc>
      </w:tr>
      <w:tr w:rsidR="0055330C" w14:paraId="7DA5DE85" w14:textId="77777777">
        <w:trPr>
          <w:trHeight w:val="619"/>
        </w:trPr>
        <w:tc>
          <w:tcPr>
            <w:tcW w:w="1980" w:type="dxa"/>
          </w:tcPr>
          <w:p w14:paraId="23893588" w14:textId="77777777" w:rsidR="0055330C" w:rsidRDefault="00000000">
            <w:pPr>
              <w:pStyle w:val="TableParagraph"/>
              <w:spacing w:before="38"/>
              <w:ind w:left="124"/>
              <w:rPr>
                <w:b/>
                <w:sz w:val="20"/>
              </w:rPr>
            </w:pPr>
            <w:r>
              <w:rPr>
                <w:b/>
                <w:w w:val="105"/>
                <w:sz w:val="20"/>
              </w:rPr>
              <w:t>External</w:t>
            </w:r>
          </w:p>
        </w:tc>
        <w:tc>
          <w:tcPr>
            <w:tcW w:w="12001" w:type="dxa"/>
          </w:tcPr>
          <w:p w14:paraId="61D775F3" w14:textId="77777777" w:rsidR="0055330C" w:rsidRDefault="00000000">
            <w:pPr>
              <w:pStyle w:val="TableParagraph"/>
              <w:spacing w:before="24"/>
              <w:ind w:left="126"/>
              <w:rPr>
                <w:sz w:val="21"/>
              </w:rPr>
            </w:pPr>
            <w:r>
              <w:rPr>
                <w:w w:val="105"/>
                <w:sz w:val="21"/>
              </w:rPr>
              <w:t>Fundraising agencies, including telemarketing, digital, creative. Federation colleagues. Colleagues in the Irish INGO</w:t>
            </w:r>
          </w:p>
          <w:p w14:paraId="21D4D96D" w14:textId="77777777" w:rsidR="0055330C" w:rsidRDefault="00000000">
            <w:pPr>
              <w:pStyle w:val="TableParagraph"/>
              <w:spacing w:before="51"/>
              <w:ind w:left="132"/>
              <w:rPr>
                <w:sz w:val="21"/>
              </w:rPr>
            </w:pPr>
            <w:r>
              <w:rPr>
                <w:w w:val="110"/>
                <w:sz w:val="21"/>
              </w:rPr>
              <w:t>sector</w:t>
            </w:r>
          </w:p>
        </w:tc>
      </w:tr>
      <w:tr w:rsidR="0055330C" w14:paraId="16D76C23" w14:textId="77777777">
        <w:trPr>
          <w:trHeight w:val="1773"/>
        </w:trPr>
        <w:tc>
          <w:tcPr>
            <w:tcW w:w="13981" w:type="dxa"/>
            <w:gridSpan w:val="2"/>
          </w:tcPr>
          <w:p w14:paraId="5F568FCC" w14:textId="77777777" w:rsidR="0055330C" w:rsidRDefault="00000000">
            <w:pPr>
              <w:pStyle w:val="TableParagraph"/>
              <w:spacing w:before="14" w:line="290" w:lineRule="auto"/>
              <w:ind w:left="119" w:right="267" w:firstLine="4"/>
              <w:rPr>
                <w:sz w:val="21"/>
              </w:rPr>
            </w:pPr>
            <w:r>
              <w:rPr>
                <w:b/>
                <w:w w:val="105"/>
                <w:sz w:val="20"/>
              </w:rPr>
              <w:t xml:space="preserve">What makes ActionAid different? </w:t>
            </w:r>
            <w:r>
              <w:rPr>
                <w:w w:val="105"/>
                <w:sz w:val="21"/>
              </w:rPr>
              <w:t>ActionAid's approach is about empowering people to claim their rights. Our working relationships, in Ireland and across the world are based on mutual trust, respect and democracy. As part of our commitment to women's rights we recognise, embody and champion feminist principles not only in the work we do, but the way we work, and how we do things. This Is a committed attempt at reflection, continuous learning, and being  mindful  of  the power  we have  as individuals  in any  situation (irrespective of where we are in the organisational structure) and how we exercise</w:t>
            </w:r>
            <w:r>
              <w:rPr>
                <w:spacing w:val="21"/>
                <w:w w:val="105"/>
                <w:sz w:val="21"/>
              </w:rPr>
              <w:t xml:space="preserve"> </w:t>
            </w:r>
            <w:r>
              <w:rPr>
                <w:w w:val="105"/>
                <w:sz w:val="21"/>
              </w:rPr>
              <w:t>it.</w:t>
            </w:r>
          </w:p>
        </w:tc>
      </w:tr>
      <w:tr w:rsidR="0055330C" w14:paraId="75501208" w14:textId="77777777">
        <w:trPr>
          <w:trHeight w:val="610"/>
        </w:trPr>
        <w:tc>
          <w:tcPr>
            <w:tcW w:w="13981" w:type="dxa"/>
            <w:gridSpan w:val="2"/>
          </w:tcPr>
          <w:p w14:paraId="615C4B30" w14:textId="77777777" w:rsidR="0055330C" w:rsidRDefault="00000000">
            <w:pPr>
              <w:pStyle w:val="TableParagraph"/>
              <w:spacing w:before="24"/>
              <w:ind w:left="124"/>
              <w:rPr>
                <w:sz w:val="21"/>
              </w:rPr>
            </w:pPr>
            <w:r>
              <w:rPr>
                <w:w w:val="105"/>
                <w:sz w:val="21"/>
              </w:rPr>
              <w:t>This profile sets out the current duties of the post that may vary from time to time without changing the character of the job or the level</w:t>
            </w:r>
          </w:p>
          <w:p w14:paraId="2CBD4D6D" w14:textId="77777777" w:rsidR="0055330C" w:rsidRDefault="00000000">
            <w:pPr>
              <w:pStyle w:val="TableParagraph"/>
              <w:spacing w:before="56"/>
              <w:ind w:left="127"/>
              <w:rPr>
                <w:sz w:val="21"/>
              </w:rPr>
            </w:pPr>
            <w:r>
              <w:rPr>
                <w:w w:val="105"/>
                <w:sz w:val="21"/>
              </w:rPr>
              <w:t>of responsibility entailed. However, all role profiles are regularly reviewed and updated in line with organisational needs.</w:t>
            </w:r>
          </w:p>
        </w:tc>
      </w:tr>
    </w:tbl>
    <w:p w14:paraId="1BD0A908" w14:textId="77777777" w:rsidR="008648EE" w:rsidRDefault="008648EE"/>
    <w:sectPr w:rsidR="008648EE">
      <w:pgSz w:w="16840" w:h="11910" w:orient="landscape"/>
      <w:pgMar w:top="1180" w:right="1180" w:bottom="280" w:left="144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EF82" w14:textId="77777777" w:rsidR="005007AD" w:rsidRDefault="005007AD">
      <w:r>
        <w:separator/>
      </w:r>
    </w:p>
  </w:endnote>
  <w:endnote w:type="continuationSeparator" w:id="0">
    <w:p w14:paraId="49C95B0A" w14:textId="77777777" w:rsidR="005007AD" w:rsidRDefault="0050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9E73" w14:textId="77777777" w:rsidR="005007AD" w:rsidRDefault="005007AD">
      <w:r>
        <w:separator/>
      </w:r>
    </w:p>
  </w:footnote>
  <w:footnote w:type="continuationSeparator" w:id="0">
    <w:p w14:paraId="0821850A" w14:textId="77777777" w:rsidR="005007AD" w:rsidRDefault="0050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F917" w14:textId="77777777" w:rsidR="0055330C" w:rsidRDefault="00000000">
    <w:pPr>
      <w:spacing w:line="14" w:lineRule="auto"/>
      <w:rPr>
        <w:sz w:val="20"/>
      </w:rPr>
    </w:pPr>
    <w:r>
      <w:rPr>
        <w:noProof/>
      </w:rPr>
      <w:drawing>
        <wp:anchor distT="0" distB="0" distL="0" distR="0" simplePos="0" relativeHeight="251401216" behindDoc="1" locked="0" layoutInCell="1" allowOverlap="1" wp14:anchorId="0377BB03" wp14:editId="234E1412">
          <wp:simplePos x="0" y="0"/>
          <wp:positionH relativeFrom="page">
            <wp:posOffset>8139448</wp:posOffset>
          </wp:positionH>
          <wp:positionV relativeFrom="page">
            <wp:posOffset>451832</wp:posOffset>
          </wp:positionV>
          <wp:extent cx="1651084" cy="2778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84" cy="277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437"/>
    <w:multiLevelType w:val="hybridMultilevel"/>
    <w:tmpl w:val="39D87AC0"/>
    <w:lvl w:ilvl="0" w:tplc="B8C6F8B4">
      <w:numFmt w:val="bullet"/>
      <w:lvlText w:val=""/>
      <w:lvlJc w:val="left"/>
      <w:pPr>
        <w:ind w:left="2018" w:hanging="415"/>
      </w:pPr>
      <w:rPr>
        <w:rFonts w:ascii="Symbol" w:eastAsia="Symbol" w:hAnsi="Symbol" w:cs="Symbol" w:hint="default"/>
        <w:w w:val="102"/>
        <w:sz w:val="21"/>
        <w:szCs w:val="21"/>
        <w:lang w:val="en-US" w:eastAsia="en-US" w:bidi="en-US"/>
      </w:rPr>
    </w:lvl>
    <w:lvl w:ilvl="1" w:tplc="C2B2C8B0">
      <w:numFmt w:val="bullet"/>
      <w:lvlText w:val="•"/>
      <w:lvlJc w:val="left"/>
      <w:pPr>
        <w:ind w:left="3016" w:hanging="415"/>
      </w:pPr>
      <w:rPr>
        <w:rFonts w:hint="default"/>
        <w:lang w:val="en-US" w:eastAsia="en-US" w:bidi="en-US"/>
      </w:rPr>
    </w:lvl>
    <w:lvl w:ilvl="2" w:tplc="A6B63276">
      <w:numFmt w:val="bullet"/>
      <w:lvlText w:val="•"/>
      <w:lvlJc w:val="left"/>
      <w:pPr>
        <w:ind w:left="4013" w:hanging="415"/>
      </w:pPr>
      <w:rPr>
        <w:rFonts w:hint="default"/>
        <w:lang w:val="en-US" w:eastAsia="en-US" w:bidi="en-US"/>
      </w:rPr>
    </w:lvl>
    <w:lvl w:ilvl="3" w:tplc="5C440616">
      <w:numFmt w:val="bullet"/>
      <w:lvlText w:val="•"/>
      <w:lvlJc w:val="left"/>
      <w:pPr>
        <w:ind w:left="5010" w:hanging="415"/>
      </w:pPr>
      <w:rPr>
        <w:rFonts w:hint="default"/>
        <w:lang w:val="en-US" w:eastAsia="en-US" w:bidi="en-US"/>
      </w:rPr>
    </w:lvl>
    <w:lvl w:ilvl="4" w:tplc="F044F59E">
      <w:numFmt w:val="bullet"/>
      <w:lvlText w:val="•"/>
      <w:lvlJc w:val="left"/>
      <w:pPr>
        <w:ind w:left="6007" w:hanging="415"/>
      </w:pPr>
      <w:rPr>
        <w:rFonts w:hint="default"/>
        <w:lang w:val="en-US" w:eastAsia="en-US" w:bidi="en-US"/>
      </w:rPr>
    </w:lvl>
    <w:lvl w:ilvl="5" w:tplc="46A6D626">
      <w:numFmt w:val="bullet"/>
      <w:lvlText w:val="•"/>
      <w:lvlJc w:val="left"/>
      <w:pPr>
        <w:ind w:left="7004" w:hanging="415"/>
      </w:pPr>
      <w:rPr>
        <w:rFonts w:hint="default"/>
        <w:lang w:val="en-US" w:eastAsia="en-US" w:bidi="en-US"/>
      </w:rPr>
    </w:lvl>
    <w:lvl w:ilvl="6" w:tplc="20468EB0">
      <w:numFmt w:val="bullet"/>
      <w:lvlText w:val="•"/>
      <w:lvlJc w:val="left"/>
      <w:pPr>
        <w:ind w:left="8001" w:hanging="415"/>
      </w:pPr>
      <w:rPr>
        <w:rFonts w:hint="default"/>
        <w:lang w:val="en-US" w:eastAsia="en-US" w:bidi="en-US"/>
      </w:rPr>
    </w:lvl>
    <w:lvl w:ilvl="7" w:tplc="5D5E5010">
      <w:numFmt w:val="bullet"/>
      <w:lvlText w:val="•"/>
      <w:lvlJc w:val="left"/>
      <w:pPr>
        <w:ind w:left="8997" w:hanging="415"/>
      </w:pPr>
      <w:rPr>
        <w:rFonts w:hint="default"/>
        <w:lang w:val="en-US" w:eastAsia="en-US" w:bidi="en-US"/>
      </w:rPr>
    </w:lvl>
    <w:lvl w:ilvl="8" w:tplc="D0C25E28">
      <w:numFmt w:val="bullet"/>
      <w:lvlText w:val="•"/>
      <w:lvlJc w:val="left"/>
      <w:pPr>
        <w:ind w:left="9994" w:hanging="415"/>
      </w:pPr>
      <w:rPr>
        <w:rFonts w:hint="default"/>
        <w:lang w:val="en-US" w:eastAsia="en-US" w:bidi="en-US"/>
      </w:rPr>
    </w:lvl>
  </w:abstractNum>
  <w:abstractNum w:abstractNumId="1" w15:restartNumberingAfterBreak="0">
    <w:nsid w:val="0FFB3AD0"/>
    <w:multiLevelType w:val="hybridMultilevel"/>
    <w:tmpl w:val="FEB4DD1A"/>
    <w:lvl w:ilvl="0" w:tplc="AE4E8078">
      <w:numFmt w:val="bullet"/>
      <w:lvlText w:val=""/>
      <w:lvlJc w:val="left"/>
      <w:pPr>
        <w:ind w:left="482" w:hanging="373"/>
      </w:pPr>
      <w:rPr>
        <w:rFonts w:ascii="Symbol" w:eastAsia="Symbol" w:hAnsi="Symbol" w:cs="Symbol" w:hint="default"/>
        <w:w w:val="102"/>
        <w:sz w:val="21"/>
        <w:szCs w:val="21"/>
        <w:lang w:val="en-US" w:eastAsia="en-US" w:bidi="en-US"/>
      </w:rPr>
    </w:lvl>
    <w:lvl w:ilvl="1" w:tplc="10E8E376">
      <w:numFmt w:val="bullet"/>
      <w:lvlText w:val="•"/>
      <w:lvlJc w:val="left"/>
      <w:pPr>
        <w:ind w:left="1631" w:hanging="373"/>
      </w:pPr>
      <w:rPr>
        <w:rFonts w:hint="default"/>
        <w:lang w:val="en-US" w:eastAsia="en-US" w:bidi="en-US"/>
      </w:rPr>
    </w:lvl>
    <w:lvl w:ilvl="2" w:tplc="CCA42970">
      <w:numFmt w:val="bullet"/>
      <w:lvlText w:val="•"/>
      <w:lvlJc w:val="left"/>
      <w:pPr>
        <w:ind w:left="2782" w:hanging="373"/>
      </w:pPr>
      <w:rPr>
        <w:rFonts w:hint="default"/>
        <w:lang w:val="en-US" w:eastAsia="en-US" w:bidi="en-US"/>
      </w:rPr>
    </w:lvl>
    <w:lvl w:ilvl="3" w:tplc="165AF738">
      <w:numFmt w:val="bullet"/>
      <w:lvlText w:val="•"/>
      <w:lvlJc w:val="left"/>
      <w:pPr>
        <w:ind w:left="3933" w:hanging="373"/>
      </w:pPr>
      <w:rPr>
        <w:rFonts w:hint="default"/>
        <w:lang w:val="en-US" w:eastAsia="en-US" w:bidi="en-US"/>
      </w:rPr>
    </w:lvl>
    <w:lvl w:ilvl="4" w:tplc="A3129250">
      <w:numFmt w:val="bullet"/>
      <w:lvlText w:val="•"/>
      <w:lvlJc w:val="left"/>
      <w:pPr>
        <w:ind w:left="5084" w:hanging="373"/>
      </w:pPr>
      <w:rPr>
        <w:rFonts w:hint="default"/>
        <w:lang w:val="en-US" w:eastAsia="en-US" w:bidi="en-US"/>
      </w:rPr>
    </w:lvl>
    <w:lvl w:ilvl="5" w:tplc="83A4C9A2">
      <w:numFmt w:val="bullet"/>
      <w:lvlText w:val="•"/>
      <w:lvlJc w:val="left"/>
      <w:pPr>
        <w:ind w:left="6235" w:hanging="373"/>
      </w:pPr>
      <w:rPr>
        <w:rFonts w:hint="default"/>
        <w:lang w:val="en-US" w:eastAsia="en-US" w:bidi="en-US"/>
      </w:rPr>
    </w:lvl>
    <w:lvl w:ilvl="6" w:tplc="DBF047B8">
      <w:numFmt w:val="bullet"/>
      <w:lvlText w:val="•"/>
      <w:lvlJc w:val="left"/>
      <w:pPr>
        <w:ind w:left="7386" w:hanging="373"/>
      </w:pPr>
      <w:rPr>
        <w:rFonts w:hint="default"/>
        <w:lang w:val="en-US" w:eastAsia="en-US" w:bidi="en-US"/>
      </w:rPr>
    </w:lvl>
    <w:lvl w:ilvl="7" w:tplc="ADD0962A">
      <w:numFmt w:val="bullet"/>
      <w:lvlText w:val="•"/>
      <w:lvlJc w:val="left"/>
      <w:pPr>
        <w:ind w:left="8537" w:hanging="373"/>
      </w:pPr>
      <w:rPr>
        <w:rFonts w:hint="default"/>
        <w:lang w:val="en-US" w:eastAsia="en-US" w:bidi="en-US"/>
      </w:rPr>
    </w:lvl>
    <w:lvl w:ilvl="8" w:tplc="61DC9E06">
      <w:numFmt w:val="bullet"/>
      <w:lvlText w:val="•"/>
      <w:lvlJc w:val="left"/>
      <w:pPr>
        <w:ind w:left="9688" w:hanging="373"/>
      </w:pPr>
      <w:rPr>
        <w:rFonts w:hint="default"/>
        <w:lang w:val="en-US" w:eastAsia="en-US" w:bidi="en-US"/>
      </w:rPr>
    </w:lvl>
  </w:abstractNum>
  <w:abstractNum w:abstractNumId="2" w15:restartNumberingAfterBreak="0">
    <w:nsid w:val="392C1062"/>
    <w:multiLevelType w:val="hybridMultilevel"/>
    <w:tmpl w:val="85FA53A4"/>
    <w:lvl w:ilvl="0" w:tplc="54F0E038">
      <w:numFmt w:val="bullet"/>
      <w:lvlText w:val=""/>
      <w:lvlJc w:val="left"/>
      <w:pPr>
        <w:ind w:left="480" w:hanging="371"/>
      </w:pPr>
      <w:rPr>
        <w:rFonts w:ascii="Symbol" w:eastAsia="Symbol" w:hAnsi="Symbol" w:cs="Symbol" w:hint="default"/>
        <w:w w:val="102"/>
        <w:sz w:val="21"/>
        <w:szCs w:val="21"/>
        <w:lang w:val="en-US" w:eastAsia="en-US" w:bidi="en-US"/>
      </w:rPr>
    </w:lvl>
    <w:lvl w:ilvl="1" w:tplc="8912F878">
      <w:numFmt w:val="bullet"/>
      <w:lvlText w:val="•"/>
      <w:lvlJc w:val="left"/>
      <w:pPr>
        <w:ind w:left="1631" w:hanging="371"/>
      </w:pPr>
      <w:rPr>
        <w:rFonts w:hint="default"/>
        <w:lang w:val="en-US" w:eastAsia="en-US" w:bidi="en-US"/>
      </w:rPr>
    </w:lvl>
    <w:lvl w:ilvl="2" w:tplc="DC2AB8E8">
      <w:numFmt w:val="bullet"/>
      <w:lvlText w:val="•"/>
      <w:lvlJc w:val="left"/>
      <w:pPr>
        <w:ind w:left="2782" w:hanging="371"/>
      </w:pPr>
      <w:rPr>
        <w:rFonts w:hint="default"/>
        <w:lang w:val="en-US" w:eastAsia="en-US" w:bidi="en-US"/>
      </w:rPr>
    </w:lvl>
    <w:lvl w:ilvl="3" w:tplc="11EAB230">
      <w:numFmt w:val="bullet"/>
      <w:lvlText w:val="•"/>
      <w:lvlJc w:val="left"/>
      <w:pPr>
        <w:ind w:left="3933" w:hanging="371"/>
      </w:pPr>
      <w:rPr>
        <w:rFonts w:hint="default"/>
        <w:lang w:val="en-US" w:eastAsia="en-US" w:bidi="en-US"/>
      </w:rPr>
    </w:lvl>
    <w:lvl w:ilvl="4" w:tplc="584EFC22">
      <w:numFmt w:val="bullet"/>
      <w:lvlText w:val="•"/>
      <w:lvlJc w:val="left"/>
      <w:pPr>
        <w:ind w:left="5084" w:hanging="371"/>
      </w:pPr>
      <w:rPr>
        <w:rFonts w:hint="default"/>
        <w:lang w:val="en-US" w:eastAsia="en-US" w:bidi="en-US"/>
      </w:rPr>
    </w:lvl>
    <w:lvl w:ilvl="5" w:tplc="31145174">
      <w:numFmt w:val="bullet"/>
      <w:lvlText w:val="•"/>
      <w:lvlJc w:val="left"/>
      <w:pPr>
        <w:ind w:left="6235" w:hanging="371"/>
      </w:pPr>
      <w:rPr>
        <w:rFonts w:hint="default"/>
        <w:lang w:val="en-US" w:eastAsia="en-US" w:bidi="en-US"/>
      </w:rPr>
    </w:lvl>
    <w:lvl w:ilvl="6" w:tplc="51CC8CAC">
      <w:numFmt w:val="bullet"/>
      <w:lvlText w:val="•"/>
      <w:lvlJc w:val="left"/>
      <w:pPr>
        <w:ind w:left="7386" w:hanging="371"/>
      </w:pPr>
      <w:rPr>
        <w:rFonts w:hint="default"/>
        <w:lang w:val="en-US" w:eastAsia="en-US" w:bidi="en-US"/>
      </w:rPr>
    </w:lvl>
    <w:lvl w:ilvl="7" w:tplc="1186C96E">
      <w:numFmt w:val="bullet"/>
      <w:lvlText w:val="•"/>
      <w:lvlJc w:val="left"/>
      <w:pPr>
        <w:ind w:left="8537" w:hanging="371"/>
      </w:pPr>
      <w:rPr>
        <w:rFonts w:hint="default"/>
        <w:lang w:val="en-US" w:eastAsia="en-US" w:bidi="en-US"/>
      </w:rPr>
    </w:lvl>
    <w:lvl w:ilvl="8" w:tplc="3198EF16">
      <w:numFmt w:val="bullet"/>
      <w:lvlText w:val="•"/>
      <w:lvlJc w:val="left"/>
      <w:pPr>
        <w:ind w:left="9688" w:hanging="371"/>
      </w:pPr>
      <w:rPr>
        <w:rFonts w:hint="default"/>
        <w:lang w:val="en-US" w:eastAsia="en-US" w:bidi="en-US"/>
      </w:rPr>
    </w:lvl>
  </w:abstractNum>
  <w:abstractNum w:abstractNumId="3" w15:restartNumberingAfterBreak="0">
    <w:nsid w:val="3EC01B37"/>
    <w:multiLevelType w:val="hybridMultilevel"/>
    <w:tmpl w:val="67546286"/>
    <w:lvl w:ilvl="0" w:tplc="1562D1BE">
      <w:numFmt w:val="bullet"/>
      <w:lvlText w:val=""/>
      <w:lvlJc w:val="left"/>
      <w:pPr>
        <w:ind w:left="484" w:hanging="438"/>
      </w:pPr>
      <w:rPr>
        <w:rFonts w:ascii="Symbol" w:eastAsia="Symbol" w:hAnsi="Symbol" w:cs="Symbol" w:hint="default"/>
        <w:w w:val="102"/>
        <w:sz w:val="21"/>
        <w:szCs w:val="21"/>
        <w:lang w:val="en-US" w:eastAsia="en-US" w:bidi="en-US"/>
      </w:rPr>
    </w:lvl>
    <w:lvl w:ilvl="1" w:tplc="FC9EECB4">
      <w:numFmt w:val="bullet"/>
      <w:lvlText w:val="•"/>
      <w:lvlJc w:val="left"/>
      <w:pPr>
        <w:ind w:left="1630" w:hanging="438"/>
      </w:pPr>
      <w:rPr>
        <w:rFonts w:hint="default"/>
        <w:lang w:val="en-US" w:eastAsia="en-US" w:bidi="en-US"/>
      </w:rPr>
    </w:lvl>
    <w:lvl w:ilvl="2" w:tplc="60B80CB4">
      <w:numFmt w:val="bullet"/>
      <w:lvlText w:val="•"/>
      <w:lvlJc w:val="left"/>
      <w:pPr>
        <w:ind w:left="2781" w:hanging="438"/>
      </w:pPr>
      <w:rPr>
        <w:rFonts w:hint="default"/>
        <w:lang w:val="en-US" w:eastAsia="en-US" w:bidi="en-US"/>
      </w:rPr>
    </w:lvl>
    <w:lvl w:ilvl="3" w:tplc="C9928DD6">
      <w:numFmt w:val="bullet"/>
      <w:lvlText w:val="•"/>
      <w:lvlJc w:val="left"/>
      <w:pPr>
        <w:ind w:left="3932" w:hanging="438"/>
      </w:pPr>
      <w:rPr>
        <w:rFonts w:hint="default"/>
        <w:lang w:val="en-US" w:eastAsia="en-US" w:bidi="en-US"/>
      </w:rPr>
    </w:lvl>
    <w:lvl w:ilvl="4" w:tplc="EDE279EC">
      <w:numFmt w:val="bullet"/>
      <w:lvlText w:val="•"/>
      <w:lvlJc w:val="left"/>
      <w:pPr>
        <w:ind w:left="5083" w:hanging="438"/>
      </w:pPr>
      <w:rPr>
        <w:rFonts w:hint="default"/>
        <w:lang w:val="en-US" w:eastAsia="en-US" w:bidi="en-US"/>
      </w:rPr>
    </w:lvl>
    <w:lvl w:ilvl="5" w:tplc="D906670E">
      <w:numFmt w:val="bullet"/>
      <w:lvlText w:val="•"/>
      <w:lvlJc w:val="left"/>
      <w:pPr>
        <w:ind w:left="6234" w:hanging="438"/>
      </w:pPr>
      <w:rPr>
        <w:rFonts w:hint="default"/>
        <w:lang w:val="en-US" w:eastAsia="en-US" w:bidi="en-US"/>
      </w:rPr>
    </w:lvl>
    <w:lvl w:ilvl="6" w:tplc="FB3274C2">
      <w:numFmt w:val="bullet"/>
      <w:lvlText w:val="•"/>
      <w:lvlJc w:val="left"/>
      <w:pPr>
        <w:ind w:left="7385" w:hanging="438"/>
      </w:pPr>
      <w:rPr>
        <w:rFonts w:hint="default"/>
        <w:lang w:val="en-US" w:eastAsia="en-US" w:bidi="en-US"/>
      </w:rPr>
    </w:lvl>
    <w:lvl w:ilvl="7" w:tplc="D2D27CEC">
      <w:numFmt w:val="bullet"/>
      <w:lvlText w:val="•"/>
      <w:lvlJc w:val="left"/>
      <w:pPr>
        <w:ind w:left="8535" w:hanging="438"/>
      </w:pPr>
      <w:rPr>
        <w:rFonts w:hint="default"/>
        <w:lang w:val="en-US" w:eastAsia="en-US" w:bidi="en-US"/>
      </w:rPr>
    </w:lvl>
    <w:lvl w:ilvl="8" w:tplc="EEE8CA7C">
      <w:numFmt w:val="bullet"/>
      <w:lvlText w:val="•"/>
      <w:lvlJc w:val="left"/>
      <w:pPr>
        <w:ind w:left="9686" w:hanging="438"/>
      </w:pPr>
      <w:rPr>
        <w:rFonts w:hint="default"/>
        <w:lang w:val="en-US" w:eastAsia="en-US" w:bidi="en-US"/>
      </w:rPr>
    </w:lvl>
  </w:abstractNum>
  <w:abstractNum w:abstractNumId="4" w15:restartNumberingAfterBreak="0">
    <w:nsid w:val="4F106ECF"/>
    <w:multiLevelType w:val="hybridMultilevel"/>
    <w:tmpl w:val="AF0AC7D8"/>
    <w:lvl w:ilvl="0" w:tplc="2A30F584">
      <w:numFmt w:val="bullet"/>
      <w:lvlText w:val=""/>
      <w:lvlJc w:val="left"/>
      <w:pPr>
        <w:ind w:left="484" w:hanging="442"/>
      </w:pPr>
      <w:rPr>
        <w:rFonts w:ascii="Symbol" w:eastAsia="Symbol" w:hAnsi="Symbol" w:cs="Symbol" w:hint="default"/>
        <w:w w:val="102"/>
        <w:sz w:val="21"/>
        <w:szCs w:val="21"/>
        <w:lang w:val="en-US" w:eastAsia="en-US" w:bidi="en-US"/>
      </w:rPr>
    </w:lvl>
    <w:lvl w:ilvl="1" w:tplc="75C23410">
      <w:numFmt w:val="bullet"/>
      <w:lvlText w:val="•"/>
      <w:lvlJc w:val="left"/>
      <w:pPr>
        <w:ind w:left="1630" w:hanging="442"/>
      </w:pPr>
      <w:rPr>
        <w:rFonts w:hint="default"/>
        <w:lang w:val="en-US" w:eastAsia="en-US" w:bidi="en-US"/>
      </w:rPr>
    </w:lvl>
    <w:lvl w:ilvl="2" w:tplc="BEC89ECE">
      <w:numFmt w:val="bullet"/>
      <w:lvlText w:val="•"/>
      <w:lvlJc w:val="left"/>
      <w:pPr>
        <w:ind w:left="2781" w:hanging="442"/>
      </w:pPr>
      <w:rPr>
        <w:rFonts w:hint="default"/>
        <w:lang w:val="en-US" w:eastAsia="en-US" w:bidi="en-US"/>
      </w:rPr>
    </w:lvl>
    <w:lvl w:ilvl="3" w:tplc="DC343ACE">
      <w:numFmt w:val="bullet"/>
      <w:lvlText w:val="•"/>
      <w:lvlJc w:val="left"/>
      <w:pPr>
        <w:ind w:left="3932" w:hanging="442"/>
      </w:pPr>
      <w:rPr>
        <w:rFonts w:hint="default"/>
        <w:lang w:val="en-US" w:eastAsia="en-US" w:bidi="en-US"/>
      </w:rPr>
    </w:lvl>
    <w:lvl w:ilvl="4" w:tplc="7AFED66C">
      <w:numFmt w:val="bullet"/>
      <w:lvlText w:val="•"/>
      <w:lvlJc w:val="left"/>
      <w:pPr>
        <w:ind w:left="5083" w:hanging="442"/>
      </w:pPr>
      <w:rPr>
        <w:rFonts w:hint="default"/>
        <w:lang w:val="en-US" w:eastAsia="en-US" w:bidi="en-US"/>
      </w:rPr>
    </w:lvl>
    <w:lvl w:ilvl="5" w:tplc="A8507F90">
      <w:numFmt w:val="bullet"/>
      <w:lvlText w:val="•"/>
      <w:lvlJc w:val="left"/>
      <w:pPr>
        <w:ind w:left="6234" w:hanging="442"/>
      </w:pPr>
      <w:rPr>
        <w:rFonts w:hint="default"/>
        <w:lang w:val="en-US" w:eastAsia="en-US" w:bidi="en-US"/>
      </w:rPr>
    </w:lvl>
    <w:lvl w:ilvl="6" w:tplc="4644E9E6">
      <w:numFmt w:val="bullet"/>
      <w:lvlText w:val="•"/>
      <w:lvlJc w:val="left"/>
      <w:pPr>
        <w:ind w:left="7385" w:hanging="442"/>
      </w:pPr>
      <w:rPr>
        <w:rFonts w:hint="default"/>
        <w:lang w:val="en-US" w:eastAsia="en-US" w:bidi="en-US"/>
      </w:rPr>
    </w:lvl>
    <w:lvl w:ilvl="7" w:tplc="DA5441A0">
      <w:numFmt w:val="bullet"/>
      <w:lvlText w:val="•"/>
      <w:lvlJc w:val="left"/>
      <w:pPr>
        <w:ind w:left="8535" w:hanging="442"/>
      </w:pPr>
      <w:rPr>
        <w:rFonts w:hint="default"/>
        <w:lang w:val="en-US" w:eastAsia="en-US" w:bidi="en-US"/>
      </w:rPr>
    </w:lvl>
    <w:lvl w:ilvl="8" w:tplc="FAF8B650">
      <w:numFmt w:val="bullet"/>
      <w:lvlText w:val="•"/>
      <w:lvlJc w:val="left"/>
      <w:pPr>
        <w:ind w:left="9686" w:hanging="442"/>
      </w:pPr>
      <w:rPr>
        <w:rFonts w:hint="default"/>
        <w:lang w:val="en-US" w:eastAsia="en-US" w:bidi="en-US"/>
      </w:rPr>
    </w:lvl>
  </w:abstractNum>
  <w:abstractNum w:abstractNumId="5" w15:restartNumberingAfterBreak="0">
    <w:nsid w:val="53202954"/>
    <w:multiLevelType w:val="hybridMultilevel"/>
    <w:tmpl w:val="853E1958"/>
    <w:lvl w:ilvl="0" w:tplc="C5CE2606">
      <w:numFmt w:val="bullet"/>
      <w:lvlText w:val=""/>
      <w:lvlJc w:val="left"/>
      <w:pPr>
        <w:ind w:left="466" w:hanging="368"/>
      </w:pPr>
      <w:rPr>
        <w:rFonts w:ascii="Symbol" w:eastAsia="Symbol" w:hAnsi="Symbol" w:cs="Symbol" w:hint="default"/>
        <w:w w:val="102"/>
        <w:position w:val="1"/>
        <w:sz w:val="21"/>
        <w:szCs w:val="21"/>
        <w:lang w:val="en-US" w:eastAsia="en-US" w:bidi="en-US"/>
      </w:rPr>
    </w:lvl>
    <w:lvl w:ilvl="1" w:tplc="05EC8546">
      <w:numFmt w:val="bullet"/>
      <w:lvlText w:val="•"/>
      <w:lvlJc w:val="left"/>
      <w:pPr>
        <w:ind w:left="1612" w:hanging="368"/>
      </w:pPr>
      <w:rPr>
        <w:rFonts w:hint="default"/>
        <w:lang w:val="en-US" w:eastAsia="en-US" w:bidi="en-US"/>
      </w:rPr>
    </w:lvl>
    <w:lvl w:ilvl="2" w:tplc="2F9E517C">
      <w:numFmt w:val="bullet"/>
      <w:lvlText w:val="•"/>
      <w:lvlJc w:val="left"/>
      <w:pPr>
        <w:ind w:left="2765" w:hanging="368"/>
      </w:pPr>
      <w:rPr>
        <w:rFonts w:hint="default"/>
        <w:lang w:val="en-US" w:eastAsia="en-US" w:bidi="en-US"/>
      </w:rPr>
    </w:lvl>
    <w:lvl w:ilvl="3" w:tplc="74E4AF80">
      <w:numFmt w:val="bullet"/>
      <w:lvlText w:val="•"/>
      <w:lvlJc w:val="left"/>
      <w:pPr>
        <w:ind w:left="3918" w:hanging="368"/>
      </w:pPr>
      <w:rPr>
        <w:rFonts w:hint="default"/>
        <w:lang w:val="en-US" w:eastAsia="en-US" w:bidi="en-US"/>
      </w:rPr>
    </w:lvl>
    <w:lvl w:ilvl="4" w:tplc="3DEAC328">
      <w:numFmt w:val="bullet"/>
      <w:lvlText w:val="•"/>
      <w:lvlJc w:val="left"/>
      <w:pPr>
        <w:ind w:left="5071" w:hanging="368"/>
      </w:pPr>
      <w:rPr>
        <w:rFonts w:hint="default"/>
        <w:lang w:val="en-US" w:eastAsia="en-US" w:bidi="en-US"/>
      </w:rPr>
    </w:lvl>
    <w:lvl w:ilvl="5" w:tplc="77F09606">
      <w:numFmt w:val="bullet"/>
      <w:lvlText w:val="•"/>
      <w:lvlJc w:val="left"/>
      <w:pPr>
        <w:ind w:left="6224" w:hanging="368"/>
      </w:pPr>
      <w:rPr>
        <w:rFonts w:hint="default"/>
        <w:lang w:val="en-US" w:eastAsia="en-US" w:bidi="en-US"/>
      </w:rPr>
    </w:lvl>
    <w:lvl w:ilvl="6" w:tplc="0C463B68">
      <w:numFmt w:val="bullet"/>
      <w:lvlText w:val="•"/>
      <w:lvlJc w:val="left"/>
      <w:pPr>
        <w:ind w:left="7377" w:hanging="368"/>
      </w:pPr>
      <w:rPr>
        <w:rFonts w:hint="default"/>
        <w:lang w:val="en-US" w:eastAsia="en-US" w:bidi="en-US"/>
      </w:rPr>
    </w:lvl>
    <w:lvl w:ilvl="7" w:tplc="74A8F07E">
      <w:numFmt w:val="bullet"/>
      <w:lvlText w:val="•"/>
      <w:lvlJc w:val="left"/>
      <w:pPr>
        <w:ind w:left="8529" w:hanging="368"/>
      </w:pPr>
      <w:rPr>
        <w:rFonts w:hint="default"/>
        <w:lang w:val="en-US" w:eastAsia="en-US" w:bidi="en-US"/>
      </w:rPr>
    </w:lvl>
    <w:lvl w:ilvl="8" w:tplc="B1EA03B2">
      <w:numFmt w:val="bullet"/>
      <w:lvlText w:val="•"/>
      <w:lvlJc w:val="left"/>
      <w:pPr>
        <w:ind w:left="9682" w:hanging="368"/>
      </w:pPr>
      <w:rPr>
        <w:rFonts w:hint="default"/>
        <w:lang w:val="en-US" w:eastAsia="en-US" w:bidi="en-US"/>
      </w:rPr>
    </w:lvl>
  </w:abstractNum>
  <w:abstractNum w:abstractNumId="6" w15:restartNumberingAfterBreak="0">
    <w:nsid w:val="548965E0"/>
    <w:multiLevelType w:val="hybridMultilevel"/>
    <w:tmpl w:val="20DE3B78"/>
    <w:lvl w:ilvl="0" w:tplc="F38A83E6">
      <w:numFmt w:val="bullet"/>
      <w:lvlText w:val=""/>
      <w:lvlJc w:val="left"/>
      <w:pPr>
        <w:ind w:left="484" w:hanging="439"/>
      </w:pPr>
      <w:rPr>
        <w:rFonts w:ascii="Symbol" w:eastAsia="Symbol" w:hAnsi="Symbol" w:cs="Symbol" w:hint="default"/>
        <w:w w:val="102"/>
        <w:sz w:val="21"/>
        <w:szCs w:val="21"/>
        <w:lang w:val="en-US" w:eastAsia="en-US" w:bidi="en-US"/>
      </w:rPr>
    </w:lvl>
    <w:lvl w:ilvl="1" w:tplc="9DF2C8BE">
      <w:numFmt w:val="bullet"/>
      <w:lvlText w:val="•"/>
      <w:lvlJc w:val="left"/>
      <w:pPr>
        <w:ind w:left="1630" w:hanging="439"/>
      </w:pPr>
      <w:rPr>
        <w:rFonts w:hint="default"/>
        <w:lang w:val="en-US" w:eastAsia="en-US" w:bidi="en-US"/>
      </w:rPr>
    </w:lvl>
    <w:lvl w:ilvl="2" w:tplc="AEDE1116">
      <w:numFmt w:val="bullet"/>
      <w:lvlText w:val="•"/>
      <w:lvlJc w:val="left"/>
      <w:pPr>
        <w:ind w:left="2781" w:hanging="439"/>
      </w:pPr>
      <w:rPr>
        <w:rFonts w:hint="default"/>
        <w:lang w:val="en-US" w:eastAsia="en-US" w:bidi="en-US"/>
      </w:rPr>
    </w:lvl>
    <w:lvl w:ilvl="3" w:tplc="FF0C1402">
      <w:numFmt w:val="bullet"/>
      <w:lvlText w:val="•"/>
      <w:lvlJc w:val="left"/>
      <w:pPr>
        <w:ind w:left="3932" w:hanging="439"/>
      </w:pPr>
      <w:rPr>
        <w:rFonts w:hint="default"/>
        <w:lang w:val="en-US" w:eastAsia="en-US" w:bidi="en-US"/>
      </w:rPr>
    </w:lvl>
    <w:lvl w:ilvl="4" w:tplc="DD127704">
      <w:numFmt w:val="bullet"/>
      <w:lvlText w:val="•"/>
      <w:lvlJc w:val="left"/>
      <w:pPr>
        <w:ind w:left="5083" w:hanging="439"/>
      </w:pPr>
      <w:rPr>
        <w:rFonts w:hint="default"/>
        <w:lang w:val="en-US" w:eastAsia="en-US" w:bidi="en-US"/>
      </w:rPr>
    </w:lvl>
    <w:lvl w:ilvl="5" w:tplc="3BEC3F66">
      <w:numFmt w:val="bullet"/>
      <w:lvlText w:val="•"/>
      <w:lvlJc w:val="left"/>
      <w:pPr>
        <w:ind w:left="6234" w:hanging="439"/>
      </w:pPr>
      <w:rPr>
        <w:rFonts w:hint="default"/>
        <w:lang w:val="en-US" w:eastAsia="en-US" w:bidi="en-US"/>
      </w:rPr>
    </w:lvl>
    <w:lvl w:ilvl="6" w:tplc="96C80416">
      <w:numFmt w:val="bullet"/>
      <w:lvlText w:val="•"/>
      <w:lvlJc w:val="left"/>
      <w:pPr>
        <w:ind w:left="7385" w:hanging="439"/>
      </w:pPr>
      <w:rPr>
        <w:rFonts w:hint="default"/>
        <w:lang w:val="en-US" w:eastAsia="en-US" w:bidi="en-US"/>
      </w:rPr>
    </w:lvl>
    <w:lvl w:ilvl="7" w:tplc="FD4AB494">
      <w:numFmt w:val="bullet"/>
      <w:lvlText w:val="•"/>
      <w:lvlJc w:val="left"/>
      <w:pPr>
        <w:ind w:left="8535" w:hanging="439"/>
      </w:pPr>
      <w:rPr>
        <w:rFonts w:hint="default"/>
        <w:lang w:val="en-US" w:eastAsia="en-US" w:bidi="en-US"/>
      </w:rPr>
    </w:lvl>
    <w:lvl w:ilvl="8" w:tplc="44667FC0">
      <w:numFmt w:val="bullet"/>
      <w:lvlText w:val="•"/>
      <w:lvlJc w:val="left"/>
      <w:pPr>
        <w:ind w:left="9686" w:hanging="439"/>
      </w:pPr>
      <w:rPr>
        <w:rFonts w:hint="default"/>
        <w:lang w:val="en-US" w:eastAsia="en-US" w:bidi="en-US"/>
      </w:rPr>
    </w:lvl>
  </w:abstractNum>
  <w:abstractNum w:abstractNumId="7" w15:restartNumberingAfterBreak="0">
    <w:nsid w:val="62BC0033"/>
    <w:multiLevelType w:val="hybridMultilevel"/>
    <w:tmpl w:val="7F5A31A8"/>
    <w:lvl w:ilvl="0" w:tplc="5824CDF2">
      <w:numFmt w:val="bullet"/>
      <w:lvlText w:val=""/>
      <w:lvlJc w:val="left"/>
      <w:pPr>
        <w:ind w:left="468" w:hanging="435"/>
      </w:pPr>
      <w:rPr>
        <w:rFonts w:ascii="Symbol" w:eastAsia="Symbol" w:hAnsi="Symbol" w:cs="Symbol" w:hint="default"/>
        <w:w w:val="102"/>
        <w:position w:val="1"/>
        <w:sz w:val="21"/>
        <w:szCs w:val="21"/>
        <w:lang w:val="en-US" w:eastAsia="en-US" w:bidi="en-US"/>
      </w:rPr>
    </w:lvl>
    <w:lvl w:ilvl="1" w:tplc="5A1C35A8">
      <w:numFmt w:val="bullet"/>
      <w:lvlText w:val=""/>
      <w:lvlJc w:val="left"/>
      <w:pPr>
        <w:ind w:left="2018" w:hanging="414"/>
      </w:pPr>
      <w:rPr>
        <w:rFonts w:ascii="Symbol" w:eastAsia="Symbol" w:hAnsi="Symbol" w:cs="Symbol" w:hint="default"/>
        <w:w w:val="102"/>
        <w:position w:val="1"/>
        <w:sz w:val="21"/>
        <w:szCs w:val="21"/>
        <w:lang w:val="en-US" w:eastAsia="en-US" w:bidi="en-US"/>
      </w:rPr>
    </w:lvl>
    <w:lvl w:ilvl="2" w:tplc="C1DEEAA0">
      <w:numFmt w:val="bullet"/>
      <w:lvlText w:val="•"/>
      <w:lvlJc w:val="left"/>
      <w:pPr>
        <w:ind w:left="3127" w:hanging="414"/>
      </w:pPr>
      <w:rPr>
        <w:rFonts w:hint="default"/>
        <w:lang w:val="en-US" w:eastAsia="en-US" w:bidi="en-US"/>
      </w:rPr>
    </w:lvl>
    <w:lvl w:ilvl="3" w:tplc="7DD01B88">
      <w:numFmt w:val="bullet"/>
      <w:lvlText w:val="•"/>
      <w:lvlJc w:val="left"/>
      <w:pPr>
        <w:ind w:left="4235" w:hanging="414"/>
      </w:pPr>
      <w:rPr>
        <w:rFonts w:hint="default"/>
        <w:lang w:val="en-US" w:eastAsia="en-US" w:bidi="en-US"/>
      </w:rPr>
    </w:lvl>
    <w:lvl w:ilvl="4" w:tplc="ACAA8C4C">
      <w:numFmt w:val="bullet"/>
      <w:lvlText w:val="•"/>
      <w:lvlJc w:val="left"/>
      <w:pPr>
        <w:ind w:left="5342" w:hanging="414"/>
      </w:pPr>
      <w:rPr>
        <w:rFonts w:hint="default"/>
        <w:lang w:val="en-US" w:eastAsia="en-US" w:bidi="en-US"/>
      </w:rPr>
    </w:lvl>
    <w:lvl w:ilvl="5" w:tplc="A612B084">
      <w:numFmt w:val="bullet"/>
      <w:lvlText w:val="•"/>
      <w:lvlJc w:val="left"/>
      <w:pPr>
        <w:ind w:left="6450" w:hanging="414"/>
      </w:pPr>
      <w:rPr>
        <w:rFonts w:hint="default"/>
        <w:lang w:val="en-US" w:eastAsia="en-US" w:bidi="en-US"/>
      </w:rPr>
    </w:lvl>
    <w:lvl w:ilvl="6" w:tplc="547A64C2">
      <w:numFmt w:val="bullet"/>
      <w:lvlText w:val="•"/>
      <w:lvlJc w:val="left"/>
      <w:pPr>
        <w:ind w:left="7558" w:hanging="414"/>
      </w:pPr>
      <w:rPr>
        <w:rFonts w:hint="default"/>
        <w:lang w:val="en-US" w:eastAsia="en-US" w:bidi="en-US"/>
      </w:rPr>
    </w:lvl>
    <w:lvl w:ilvl="7" w:tplc="D45A2A42">
      <w:numFmt w:val="bullet"/>
      <w:lvlText w:val="•"/>
      <w:lvlJc w:val="left"/>
      <w:pPr>
        <w:ind w:left="8665" w:hanging="414"/>
      </w:pPr>
      <w:rPr>
        <w:rFonts w:hint="default"/>
        <w:lang w:val="en-US" w:eastAsia="en-US" w:bidi="en-US"/>
      </w:rPr>
    </w:lvl>
    <w:lvl w:ilvl="8" w:tplc="A98C003C">
      <w:numFmt w:val="bullet"/>
      <w:lvlText w:val="•"/>
      <w:lvlJc w:val="left"/>
      <w:pPr>
        <w:ind w:left="9773" w:hanging="414"/>
      </w:pPr>
      <w:rPr>
        <w:rFonts w:hint="default"/>
        <w:lang w:val="en-US" w:eastAsia="en-US" w:bidi="en-US"/>
      </w:rPr>
    </w:lvl>
  </w:abstractNum>
  <w:abstractNum w:abstractNumId="8" w15:restartNumberingAfterBreak="0">
    <w:nsid w:val="731A0BFB"/>
    <w:multiLevelType w:val="hybridMultilevel"/>
    <w:tmpl w:val="B0342956"/>
    <w:lvl w:ilvl="0" w:tplc="507C1598">
      <w:numFmt w:val="bullet"/>
      <w:lvlText w:val=""/>
      <w:lvlJc w:val="left"/>
      <w:pPr>
        <w:ind w:left="490" w:hanging="440"/>
      </w:pPr>
      <w:rPr>
        <w:rFonts w:ascii="Symbol" w:eastAsia="Symbol" w:hAnsi="Symbol" w:cs="Symbol" w:hint="default"/>
        <w:w w:val="102"/>
        <w:sz w:val="21"/>
        <w:szCs w:val="21"/>
        <w:lang w:val="en-US" w:eastAsia="en-US" w:bidi="en-US"/>
      </w:rPr>
    </w:lvl>
    <w:lvl w:ilvl="1" w:tplc="AC629B46">
      <w:numFmt w:val="bullet"/>
      <w:lvlText w:val="•"/>
      <w:lvlJc w:val="left"/>
      <w:pPr>
        <w:ind w:left="1649" w:hanging="440"/>
      </w:pPr>
      <w:rPr>
        <w:rFonts w:hint="default"/>
        <w:lang w:val="en-US" w:eastAsia="en-US" w:bidi="en-US"/>
      </w:rPr>
    </w:lvl>
    <w:lvl w:ilvl="2" w:tplc="646E4D1A">
      <w:numFmt w:val="bullet"/>
      <w:lvlText w:val="•"/>
      <w:lvlJc w:val="left"/>
      <w:pPr>
        <w:ind w:left="2798" w:hanging="440"/>
      </w:pPr>
      <w:rPr>
        <w:rFonts w:hint="default"/>
        <w:lang w:val="en-US" w:eastAsia="en-US" w:bidi="en-US"/>
      </w:rPr>
    </w:lvl>
    <w:lvl w:ilvl="3" w:tplc="66702D08">
      <w:numFmt w:val="bullet"/>
      <w:lvlText w:val="•"/>
      <w:lvlJc w:val="left"/>
      <w:pPr>
        <w:ind w:left="3947" w:hanging="440"/>
      </w:pPr>
      <w:rPr>
        <w:rFonts w:hint="default"/>
        <w:lang w:val="en-US" w:eastAsia="en-US" w:bidi="en-US"/>
      </w:rPr>
    </w:lvl>
    <w:lvl w:ilvl="4" w:tplc="D58A87A6">
      <w:numFmt w:val="bullet"/>
      <w:lvlText w:val="•"/>
      <w:lvlJc w:val="left"/>
      <w:pPr>
        <w:ind w:left="5096" w:hanging="440"/>
      </w:pPr>
      <w:rPr>
        <w:rFonts w:hint="default"/>
        <w:lang w:val="en-US" w:eastAsia="en-US" w:bidi="en-US"/>
      </w:rPr>
    </w:lvl>
    <w:lvl w:ilvl="5" w:tplc="78221494">
      <w:numFmt w:val="bullet"/>
      <w:lvlText w:val="•"/>
      <w:lvlJc w:val="left"/>
      <w:pPr>
        <w:ind w:left="6245" w:hanging="440"/>
      </w:pPr>
      <w:rPr>
        <w:rFonts w:hint="default"/>
        <w:lang w:val="en-US" w:eastAsia="en-US" w:bidi="en-US"/>
      </w:rPr>
    </w:lvl>
    <w:lvl w:ilvl="6" w:tplc="E5545062">
      <w:numFmt w:val="bullet"/>
      <w:lvlText w:val="•"/>
      <w:lvlJc w:val="left"/>
      <w:pPr>
        <w:ind w:left="7394" w:hanging="440"/>
      </w:pPr>
      <w:rPr>
        <w:rFonts w:hint="default"/>
        <w:lang w:val="en-US" w:eastAsia="en-US" w:bidi="en-US"/>
      </w:rPr>
    </w:lvl>
    <w:lvl w:ilvl="7" w:tplc="236AE3F2">
      <w:numFmt w:val="bullet"/>
      <w:lvlText w:val="•"/>
      <w:lvlJc w:val="left"/>
      <w:pPr>
        <w:ind w:left="8543" w:hanging="440"/>
      </w:pPr>
      <w:rPr>
        <w:rFonts w:hint="default"/>
        <w:lang w:val="en-US" w:eastAsia="en-US" w:bidi="en-US"/>
      </w:rPr>
    </w:lvl>
    <w:lvl w:ilvl="8" w:tplc="59187A90">
      <w:numFmt w:val="bullet"/>
      <w:lvlText w:val="•"/>
      <w:lvlJc w:val="left"/>
      <w:pPr>
        <w:ind w:left="9692" w:hanging="440"/>
      </w:pPr>
      <w:rPr>
        <w:rFonts w:hint="default"/>
        <w:lang w:val="en-US" w:eastAsia="en-US" w:bidi="en-US"/>
      </w:rPr>
    </w:lvl>
  </w:abstractNum>
  <w:num w:numId="1" w16cid:durableId="782651382">
    <w:abstractNumId w:val="8"/>
  </w:num>
  <w:num w:numId="2" w16cid:durableId="1213231958">
    <w:abstractNumId w:val="1"/>
  </w:num>
  <w:num w:numId="3" w16cid:durableId="1038816812">
    <w:abstractNumId w:val="2"/>
  </w:num>
  <w:num w:numId="4" w16cid:durableId="241257346">
    <w:abstractNumId w:val="5"/>
  </w:num>
  <w:num w:numId="5" w16cid:durableId="1637756689">
    <w:abstractNumId w:val="6"/>
  </w:num>
  <w:num w:numId="6" w16cid:durableId="2132089453">
    <w:abstractNumId w:val="3"/>
  </w:num>
  <w:num w:numId="7" w16cid:durableId="1324823152">
    <w:abstractNumId w:val="0"/>
  </w:num>
  <w:num w:numId="8" w16cid:durableId="1302730336">
    <w:abstractNumId w:val="7"/>
  </w:num>
  <w:num w:numId="9" w16cid:durableId="1679651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0C"/>
    <w:rsid w:val="005007AD"/>
    <w:rsid w:val="0055330C"/>
    <w:rsid w:val="006F5E85"/>
    <w:rsid w:val="008648EE"/>
    <w:rsid w:val="00886939"/>
    <w:rsid w:val="00C04A00"/>
    <w:rsid w:val="00D212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42EA"/>
  <w15:docId w15:val="{32588D85-6F6A-4A7A-98F2-2F065D6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4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McGee</dc:creator>
  <cp:lastModifiedBy>Sarah Marshall</cp:lastModifiedBy>
  <cp:revision>2</cp:revision>
  <dcterms:created xsi:type="dcterms:W3CDTF">2024-04-29T08:36:00Z</dcterms:created>
  <dcterms:modified xsi:type="dcterms:W3CDTF">2024-04-29T08:36:00Z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for Microsoft 365</vt:lpwstr>
  </property>
  <property fmtid="{D5CDD505-2E9C-101B-9397-08002B2CF9AE}" pid="4" name="LastSaved">
    <vt:filetime>2024-04-18T00:00:00Z</vt:filetime>
  </property>
</Properties>
</file>